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60"/>
          <w:szCs w:val="60"/>
          <w:lang w:eastAsia="zh-CN"/>
        </w:rPr>
        <w:t>深圳市第二实验学校明远高中2026年春季高一年级（2025级）学生大国重器·贵州研学实践活动</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SZZZ2026-QC0098</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三</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rPr>
          <w:rFonts w:ascii="仿宋_GB2312" w:eastAsia="仿宋_GB2312" w:hAnsiTheme="minorEastAsia"/>
          <w:b/>
          <w:color w:val="FF0000"/>
          <w:sz w:val="24"/>
        </w:rPr>
      </w:pPr>
      <w:r>
        <w:rPr>
          <w:rFonts w:ascii="仿宋_GB2312" w:eastAsia="仿宋_GB2312" w:hAnsiTheme="minorEastAsia"/>
          <w:b/>
          <w:color w:val="FF0000"/>
          <w:sz w:val="24"/>
        </w:rPr>
        <w:br w:type="page"/>
      </w:r>
    </w:p>
    <w:p w14:paraId="4407B6DC">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75889EF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深圳市第二实验学校明远高中2026年春季高一年级（2025级）学生大国重器·贵州研学实践活动</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64E8E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SZZZ2026-QC0098</w:t>
      </w:r>
    </w:p>
    <w:p w14:paraId="17E6EF6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深圳市第二实验学校明远高中2026年春季高一年级（2025级）学生大国重器·贵州研学实践活动</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60,000.00</w:t>
      </w:r>
      <w:r>
        <w:rPr>
          <w:rFonts w:hint="eastAsia" w:ascii="宋体" w:hAnsi="宋体" w:eastAsia="宋体"/>
          <w:snapToGrid w:val="0"/>
          <w:color w:val="auto"/>
          <w:sz w:val="21"/>
          <w:szCs w:val="21"/>
        </w:rPr>
        <w:t>元</w:t>
      </w:r>
    </w:p>
    <w:p w14:paraId="361349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val="en-US" w:eastAsia="zh-CN"/>
        </w:rPr>
        <w:t>单价</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3,200.00元/人</w:t>
      </w:r>
    </w:p>
    <w:p w14:paraId="39FF418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4880"/>
        <w:gridCol w:w="600"/>
        <w:gridCol w:w="570"/>
        <w:gridCol w:w="2490"/>
        <w:gridCol w:w="55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4880" w:type="dxa"/>
            <w:shd w:val="clear" w:color="auto" w:fill="ABCDEF"/>
            <w:vAlign w:val="center"/>
          </w:tcPr>
          <w:p w14:paraId="27CC0B5E">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600" w:type="dxa"/>
            <w:shd w:val="clear" w:color="auto" w:fill="ABCDEF"/>
            <w:vAlign w:val="center"/>
          </w:tcPr>
          <w:p w14:paraId="1DB556DE">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570" w:type="dxa"/>
            <w:shd w:val="clear" w:color="auto" w:fill="ABCDEF"/>
            <w:vAlign w:val="center"/>
          </w:tcPr>
          <w:p w14:paraId="5B3524E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490" w:type="dxa"/>
            <w:shd w:val="clear" w:color="auto" w:fill="ABCDEF"/>
            <w:vAlign w:val="center"/>
          </w:tcPr>
          <w:p w14:paraId="03D25C28">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559" w:type="dxa"/>
            <w:shd w:val="clear" w:color="auto" w:fill="ABCDEF"/>
            <w:vAlign w:val="center"/>
          </w:tcPr>
          <w:p w14:paraId="5DB4EF2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4880" w:type="dxa"/>
            <w:shd w:val="clear" w:color="auto" w:fill="auto"/>
            <w:vAlign w:val="center"/>
          </w:tcPr>
          <w:p w14:paraId="438FE457">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深圳市第二实验学校明远高中2026年春季高一年级（2025级）学生大国重器·贵州研学实践活动</w:t>
            </w:r>
          </w:p>
        </w:tc>
        <w:tc>
          <w:tcPr>
            <w:tcW w:w="600" w:type="dxa"/>
            <w:shd w:val="clear" w:color="auto" w:fill="auto"/>
            <w:vAlign w:val="center"/>
          </w:tcPr>
          <w:p w14:paraId="5869E30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570" w:type="dxa"/>
            <w:shd w:val="clear" w:color="auto" w:fill="auto"/>
            <w:vAlign w:val="center"/>
          </w:tcPr>
          <w:p w14:paraId="54A0A16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490" w:type="dxa"/>
            <w:shd w:val="clear" w:color="auto" w:fill="auto"/>
            <w:vAlign w:val="center"/>
          </w:tcPr>
          <w:p w14:paraId="64AE1F03">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59"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日14点30分（北京时间）</w:t>
      </w:r>
    </w:p>
    <w:p w14:paraId="7E1D11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深圳市第二实验学校明远高中</w:t>
      </w:r>
    </w:p>
    <w:p w14:paraId="34025C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rPr>
        <w:t>深圳市大鹏新区大鹏街道鹏飞路1-1 号</w:t>
      </w:r>
    </w:p>
    <w:p w14:paraId="4C32D8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cs="宋体"/>
          <w:snapToGrid w:val="0"/>
          <w:color w:val="auto"/>
          <w:sz w:val="21"/>
          <w:szCs w:val="21"/>
        </w:rPr>
        <w:t>王老师</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0755-82299619</w:t>
      </w:r>
      <w:r>
        <w:rPr>
          <w:rFonts w:hint="eastAsia" w:ascii="宋体" w:hAnsi="宋体" w:eastAsia="宋体"/>
          <w:snapToGrid w:val="0"/>
          <w:color w:val="auto"/>
          <w:sz w:val="21"/>
          <w:szCs w:val="21"/>
        </w:rPr>
        <w:t xml:space="preserve"> </w:t>
      </w:r>
    </w:p>
    <w:p w14:paraId="2C9BB2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355FE78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3FE4A7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3BD2571">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03</w:t>
      </w:r>
      <w:r>
        <w:rPr>
          <w:rFonts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深圳市第二实验学校明远高中2026年春季高一年级（2025级）学生大国重器·贵州研学实践活动</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60,000.00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为深入贯彻教育部关于加强中小学生社会实践和研学旅行的文件精神，培养学生综合素质，深圳市第二实验学校明远高中计划于2026年春季组织高一年级（2025级）学生开展大国重器·贵州研学实践活动。立足高中思政教育、学科融合、实践育人要求，通过沉浸式课程、探究式学习、体验式活动，实现传承红色基因，厚植家国情怀；探秘喀斯特地貌、天文科技，提升科学素养与探究能力；感受贵州多民族文化、非遗文化，拓宽人文视野，培养团队协作与独立自理能力。</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1FB1E1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一</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行程安排服务要求</w:t>
      </w:r>
      <w:r>
        <w:rPr>
          <w:rFonts w:hint="eastAsia" w:ascii="宋体" w:hAnsi="宋体" w:cs="宋体"/>
          <w:b/>
          <w:bCs/>
          <w:color w:val="000000"/>
          <w:sz w:val="21"/>
          <w:szCs w:val="21"/>
          <w:lang w:eastAsia="zh-CN"/>
        </w:rPr>
        <w:t>：</w:t>
      </w:r>
    </w:p>
    <w:p w14:paraId="49595A7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1.行程规划：</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需根据研学主题制定详细合理的 5 天研学行程，明确每日的研学地点、活动内容、出行方式及时间安排，行程应张弛有度，保障师生有充足时间进行学习体验的同时，也能适当休息放松。</w:t>
      </w:r>
    </w:p>
    <w:p w14:paraId="3E40C80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2.行程灵活性：在实际执行过程中，如遇不可抗力因素（如恶劣天气、交通管制等）或师生特殊需求，</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应能够及时灵活调整行程安排，确保研学活动顺利进行，并及时与校方沟通协商调整方案。</w:t>
      </w:r>
    </w:p>
    <w:p w14:paraId="40FE612A">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3.行程信息提供 ：</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应在投标文件中提供完整的行程规划</w:t>
      </w:r>
      <w:r>
        <w:rPr>
          <w:rFonts w:hint="eastAsia" w:ascii="宋体" w:hAnsi="宋体" w:cs="宋体"/>
          <w:b w:val="0"/>
          <w:bCs w:val="0"/>
          <w:color w:val="000000"/>
          <w:sz w:val="21"/>
          <w:szCs w:val="21"/>
          <w:lang w:eastAsia="zh-CN"/>
        </w:rPr>
        <w:t>。</w:t>
      </w:r>
      <w:bookmarkStart w:id="116" w:name="_GoBack"/>
      <w:bookmarkEnd w:id="116"/>
    </w:p>
    <w:p w14:paraId="71FD651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二</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交通服务要求</w:t>
      </w:r>
      <w:r>
        <w:rPr>
          <w:rFonts w:hint="eastAsia" w:ascii="宋体" w:hAnsi="宋体" w:cs="宋体"/>
          <w:b/>
          <w:bCs/>
          <w:color w:val="000000"/>
          <w:sz w:val="21"/>
          <w:szCs w:val="21"/>
          <w:lang w:eastAsia="zh-CN"/>
        </w:rPr>
        <w:t>：</w:t>
      </w:r>
    </w:p>
    <w:p w14:paraId="5226648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1.车辆安排：</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负责提供全程正规营运的旅游大巴车，车辆数量应根据实际出行师生人数合理配置，确保每人一座，且车辆车况良好、整洁卫生、设施完备（如安全带、空调等正常可用）。</w:t>
      </w:r>
    </w:p>
    <w:p w14:paraId="243C2E79">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2.交通保障：</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应负责提前了解研学期间各路段的交通状况，合理规划出行路线，避免因交通拥堵等问题影响行程安排。如遇交通管制等特殊情况，应及时启动应急预案，如安排备用交通方式等，确保师生按时到达各研学地点。</w:t>
      </w:r>
    </w:p>
    <w:p w14:paraId="755D1CE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三</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住宿服务要求</w:t>
      </w:r>
      <w:r>
        <w:rPr>
          <w:rFonts w:hint="eastAsia" w:ascii="宋体" w:hAnsi="宋体" w:cs="宋体"/>
          <w:b/>
          <w:bCs/>
          <w:color w:val="000000"/>
          <w:sz w:val="21"/>
          <w:szCs w:val="21"/>
          <w:lang w:eastAsia="zh-CN"/>
        </w:rPr>
        <w:t>：</w:t>
      </w:r>
    </w:p>
    <w:p w14:paraId="50747AE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住宿标准：</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需安排符合安全、卫生标准的酒店或研学营地作为师生的住宿地点，住宿地点应尽量选择在交通便利、周边环境安全的位置，便于师生出行和休息。住宿房间应干净整洁、通风良好，提供热水供应、卫生间等基本设施，且无安全隐患。</w:t>
      </w:r>
    </w:p>
    <w:p w14:paraId="20B9E083">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2.住宿安排细节：</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应提前与住宿提供方沟通协调，确保师生到达时能够顺利办理入住手续，房间分配应合理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在住宿期间，应安排专人负责与住宿提供方协调沟通，及时处理可能出现的住宿问题，如房间设施故障、卫生不达标等。</w:t>
      </w:r>
    </w:p>
    <w:p w14:paraId="4241514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四</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餐饮服务要求</w:t>
      </w:r>
      <w:r>
        <w:rPr>
          <w:rFonts w:hint="eastAsia" w:ascii="宋体" w:hAnsi="宋体" w:cs="宋体"/>
          <w:b/>
          <w:bCs/>
          <w:color w:val="000000"/>
          <w:sz w:val="21"/>
          <w:szCs w:val="21"/>
          <w:lang w:eastAsia="zh-CN"/>
        </w:rPr>
        <w:t>：</w:t>
      </w:r>
    </w:p>
    <w:p w14:paraId="0AD460DE">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1.餐饮标准：</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为师生提供安全、卫生、营养均衡的餐饮服务，每日三餐应按时供应，正餐应保证一定数量的荤素菜品、主食及汤品等，菜品应丰富多样，符合大众口味且兼顾当地特色，早餐应包含主食、蛋奶、蔬菜等，确保师生有充足的体力开展研学活动。同时，应根据师生的民族习惯、宗教信仰等特殊需求合理安排饮食。</w:t>
      </w:r>
    </w:p>
    <w:p w14:paraId="2F68BF86">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2.餐饮安全与卫生：</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所选择的餐饮提供单位必须具备合法有效的食品经营许可证等相关资质，餐饮工作人员应持有健康证上岗。在食材采购、加工制作、餐具清洗消毒等环节应严格遵守食品安全相关法规标准，确保食品卫生安全，避免出现食物中毒等食品安全事故。</w:t>
      </w:r>
    </w:p>
    <w:p w14:paraId="4201F9D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五</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研学服务要求</w:t>
      </w:r>
      <w:r>
        <w:rPr>
          <w:rFonts w:hint="eastAsia" w:ascii="宋体" w:hAnsi="宋体" w:cs="宋体"/>
          <w:b/>
          <w:bCs/>
          <w:color w:val="000000"/>
          <w:sz w:val="21"/>
          <w:szCs w:val="21"/>
          <w:lang w:eastAsia="zh-CN"/>
        </w:rPr>
        <w:t>：</w:t>
      </w:r>
    </w:p>
    <w:p w14:paraId="0DDAE7C3">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1.研学导师配备：</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应为本次研学活动配备专业且经验丰富的研学导师，研学导师与师生的比例应不低于</w:t>
      </w:r>
      <w:r>
        <w:rPr>
          <w:rFonts w:hint="eastAsia" w:ascii="宋体" w:hAnsi="宋体" w:eastAsia="宋体" w:cs="宋体"/>
          <w:b w:val="0"/>
          <w:bCs w:val="0"/>
          <w:color w:val="000000"/>
          <w:sz w:val="21"/>
          <w:szCs w:val="21"/>
          <w:lang w:val="en-US" w:eastAsia="zh-CN"/>
        </w:rPr>
        <w:t>1:50</w:t>
      </w:r>
      <w:r>
        <w:rPr>
          <w:rFonts w:hint="eastAsia" w:ascii="宋体" w:hAnsi="宋体" w:eastAsia="宋体" w:cs="宋体"/>
          <w:b w:val="0"/>
          <w:bCs w:val="0"/>
          <w:color w:val="000000"/>
          <w:sz w:val="21"/>
          <w:szCs w:val="21"/>
        </w:rPr>
        <w:t>，研学导师需具备相关专业知识背景、教学经验和组织协调能力，能够根据研学行程安排，引导师生开展实地观察、实验探究、讨论交流等学习活动，确保研学目标的实现。</w:t>
      </w:r>
    </w:p>
    <w:p w14:paraId="7D36D99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2.研学课程设计与实施：</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围绕研学主题设计具有针对性和趣味性的研学课程，注重理论与实践相结合，突出学生的自主学习和体验式学习。在研学过程中，研学导师应按照课程计划有序组织教学活动，通过讲解、示范、引导等方式激发学生的学习兴趣，培养学生的实践能力和创新思维。</w:t>
      </w:r>
    </w:p>
    <w:p w14:paraId="204D0875">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3.研学活动组织与管理：</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负责研学活动的现场组织与管理，包括但不限于活动场地的安排、研学道具的准备、学生分组管理等。应确保研学活动有序进行，保障师生在活动中的安全，及时处理活动中出现的各种问题和突发情况。</w:t>
      </w:r>
    </w:p>
    <w:p w14:paraId="1CC3D552">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六</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保险服务要求</w:t>
      </w:r>
      <w:r>
        <w:rPr>
          <w:rFonts w:hint="eastAsia" w:ascii="宋体" w:hAnsi="宋体" w:cs="宋体"/>
          <w:b/>
          <w:bCs/>
          <w:color w:val="000000"/>
          <w:sz w:val="21"/>
          <w:szCs w:val="21"/>
          <w:lang w:eastAsia="zh-CN"/>
        </w:rPr>
        <w:t>：</w:t>
      </w:r>
    </w:p>
    <w:p w14:paraId="0F23EF07">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需为参与本次研学活动的全体师生购买足额的保险，旅行社责任险保额应符合国家相关法规要求。</w:t>
      </w:r>
    </w:p>
    <w:p w14:paraId="02826C1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七</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安全保障服务要求</w:t>
      </w:r>
      <w:r>
        <w:rPr>
          <w:rFonts w:hint="eastAsia" w:ascii="宋体" w:hAnsi="宋体" w:cs="宋体"/>
          <w:b/>
          <w:bCs/>
          <w:color w:val="000000"/>
          <w:sz w:val="21"/>
          <w:szCs w:val="21"/>
          <w:lang w:eastAsia="zh-CN"/>
        </w:rPr>
        <w:t>：</w:t>
      </w:r>
    </w:p>
    <w:p w14:paraId="14228CC1">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1.安全保障措施制定：</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制定详细完善的安全保障方案和应急预案，针对可能出现的安全风险（如自然灾害、交通事故、意外伤害等）进行评估和防范，明确各项安全措施的责任人和执行流程，确保在研学活动过程中能够有效预防和应对各类安全问题。</w:t>
      </w:r>
    </w:p>
    <w:p w14:paraId="2FAA5FF5">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2.安全教育与培训：</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在研学活动出发前对师生进行必要的安全教育培训，包括交通安全、人身安全、财产安全等方面的注意事项和应急处理方法，提高师生的安全意识和自我保护能力。同时，应对研学导师、司机、导游等相关工作人员进行安全知识培训，确保其具备保障师生安全的能力和素质。</w:t>
      </w:r>
    </w:p>
    <w:p w14:paraId="4ECEB1F2">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3.安全保障人员配备：</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应根据实际出行人数和安全风险程度，配备足够数量的安全保障人员，安全保障人员应全程跟随师生，密切关注师生的活动情况，及时发现并排除安全隐患，处理突发安全事件。</w:t>
      </w:r>
    </w:p>
    <w:p w14:paraId="2EC72E6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eastAsia="宋体" w:cs="宋体"/>
          <w:b w:val="0"/>
          <w:bCs w:val="0"/>
          <w:color w:val="000000"/>
          <w:sz w:val="21"/>
          <w:szCs w:val="21"/>
          <w:lang w:eastAsia="zh-CN"/>
        </w:rPr>
      </w:pP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八</w:t>
      </w:r>
      <w:r>
        <w:rPr>
          <w:rFonts w:hint="eastAsia" w:ascii="宋体" w:hAnsi="宋体" w:cs="宋体"/>
          <w:b/>
          <w:bCs/>
          <w:color w:val="000000"/>
          <w:sz w:val="21"/>
          <w:szCs w:val="21"/>
          <w:lang w:eastAsia="zh-CN"/>
        </w:rPr>
        <w:t>）</w:t>
      </w:r>
      <w:r>
        <w:rPr>
          <w:rFonts w:hint="eastAsia" w:ascii="宋体" w:hAnsi="宋体" w:eastAsia="宋体" w:cs="宋体"/>
          <w:b/>
          <w:bCs/>
          <w:color w:val="000000"/>
          <w:sz w:val="21"/>
          <w:szCs w:val="21"/>
        </w:rPr>
        <w:t>其他服务要求</w:t>
      </w:r>
      <w:r>
        <w:rPr>
          <w:rFonts w:hint="eastAsia" w:ascii="宋体" w:hAnsi="宋体" w:cs="宋体"/>
          <w:b/>
          <w:bCs/>
          <w:color w:val="000000"/>
          <w:sz w:val="21"/>
          <w:szCs w:val="21"/>
          <w:lang w:eastAsia="zh-CN"/>
        </w:rPr>
        <w:t>：</w:t>
      </w:r>
    </w:p>
    <w:p w14:paraId="495A8188">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研学资料整理与反馈：研学活动结束后，</w:t>
      </w:r>
      <w:r>
        <w:rPr>
          <w:rFonts w:hint="eastAsia" w:ascii="宋体" w:hAnsi="宋体" w:cs="宋体"/>
          <w:b w:val="0"/>
          <w:bCs w:val="0"/>
          <w:color w:val="000000"/>
          <w:sz w:val="21"/>
          <w:szCs w:val="21"/>
          <w:lang w:eastAsia="zh-CN"/>
        </w:rPr>
        <w:t>中标人</w:t>
      </w:r>
      <w:r>
        <w:rPr>
          <w:rFonts w:hint="eastAsia" w:ascii="宋体" w:hAnsi="宋体" w:eastAsia="宋体" w:cs="宋体"/>
          <w:b w:val="0"/>
          <w:bCs w:val="0"/>
          <w:color w:val="000000"/>
          <w:sz w:val="21"/>
          <w:szCs w:val="21"/>
        </w:rPr>
        <w:t>应协助学校对本次研学活动进行总结和评估，整理相关的研学资料（如学生的学习成果、活动照片、视频等），并向学校提交详细的研学活动总结报告，报告内容应包括活动执行情况、研学目标达成情况、安全情况、师生反馈意见等方面，为学校后续开展研学活动提供参考和借鉴。</w:t>
      </w:r>
    </w:p>
    <w:p w14:paraId="4181D03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baseline"/>
        <w:outlineLvl w:val="1"/>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（九）人员要求：</w:t>
      </w:r>
    </w:p>
    <w:p w14:paraId="0F9ECCC7">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中标人须根据本项目的实际情况，为本项目指定合格的项目负责人，并配备足够人员和技术力量的专门团队，项目团队人员需具备项目相关的专业能力知识背景及工作经验，确保项目工作高质量完成。</w:t>
      </w: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27E8A03B">
      <w:pPr>
        <w:keepNext w:val="0"/>
        <w:keepLines w:val="0"/>
        <w:pageBreakBefore w:val="0"/>
        <w:widowControl w:val="0"/>
        <w:kinsoku/>
        <w:wordWrap/>
        <w:overflowPunct/>
        <w:topLinePunct w:val="0"/>
        <w:bidi w:val="0"/>
        <w:spacing w:line="360" w:lineRule="auto"/>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083E2A14">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highlight w:val="yellow"/>
        </w:rPr>
      </w:pPr>
      <w:r>
        <w:rPr>
          <w:rFonts w:hint="eastAsia" w:asciiTheme="minorEastAsia" w:hAnsiTheme="minorEastAsia" w:eastAsiaTheme="minorEastAsia"/>
          <w:b/>
          <w:highlight w:val="yellow"/>
        </w:rPr>
        <w:t>自合同签订之日起120</w:t>
      </w:r>
      <w:r>
        <w:rPr>
          <w:rFonts w:hint="eastAsia" w:asciiTheme="minorEastAsia" w:hAnsiTheme="minorEastAsia" w:eastAsiaTheme="minorEastAsia"/>
          <w:b/>
          <w:highlight w:val="yellow"/>
          <w:lang w:val="en-US" w:eastAsia="zh-CN"/>
        </w:rPr>
        <w:t>日历日</w:t>
      </w:r>
      <w:r>
        <w:rPr>
          <w:rFonts w:hint="eastAsia" w:asciiTheme="minorEastAsia" w:hAnsiTheme="minorEastAsia" w:eastAsiaTheme="minorEastAsia"/>
          <w:b/>
          <w:highlight w:val="yellow"/>
        </w:rPr>
        <w:t>。</w:t>
      </w:r>
    </w:p>
    <w:p w14:paraId="34EBD9A6">
      <w:pPr>
        <w:keepNext w:val="0"/>
        <w:keepLines w:val="0"/>
        <w:pageBreakBefore w:val="0"/>
        <w:widowControl w:val="0"/>
        <w:kinsoku/>
        <w:wordWrap/>
        <w:overflowPunct/>
        <w:topLinePunct w:val="0"/>
        <w:bidi w:val="0"/>
        <w:spacing w:line="360" w:lineRule="auto"/>
        <w:rPr>
          <w:rFonts w:asciiTheme="minorEastAsia" w:hAnsiTheme="minorEastAsia" w:eastAsiaTheme="minorEastAsia"/>
          <w:b/>
          <w:bCs w:val="0"/>
          <w:highlight w:val="none"/>
        </w:rPr>
      </w:pPr>
      <w:r>
        <w:rPr>
          <w:rFonts w:hint="eastAsia" w:asciiTheme="minorEastAsia" w:hAnsiTheme="minorEastAsia" w:eastAsiaTheme="minorEastAsia"/>
          <w:b/>
          <w:bCs w:val="0"/>
          <w:highlight w:val="none"/>
        </w:rPr>
        <w:t>（</w:t>
      </w:r>
      <w:r>
        <w:rPr>
          <w:rFonts w:hint="eastAsia" w:asciiTheme="minorEastAsia" w:hAnsiTheme="minorEastAsia" w:eastAsiaTheme="minorEastAsia"/>
          <w:b/>
          <w:bCs w:val="0"/>
          <w:highlight w:val="none"/>
          <w:lang w:val="en-US" w:eastAsia="zh-CN"/>
        </w:rPr>
        <w:t>二</w:t>
      </w:r>
      <w:r>
        <w:rPr>
          <w:rFonts w:hint="eastAsia" w:asciiTheme="minorEastAsia" w:hAnsiTheme="minorEastAsia" w:eastAsiaTheme="minorEastAsia"/>
          <w:b/>
          <w:bCs w:val="0"/>
          <w:highlight w:val="none"/>
        </w:rPr>
        <w:t>）报价要求：</w:t>
      </w:r>
    </w:p>
    <w:p w14:paraId="6C4BBD97">
      <w:pPr>
        <w:keepNext w:val="0"/>
        <w:keepLines w:val="0"/>
        <w:pageBreakBefore w:val="0"/>
        <w:widowControl w:val="0"/>
        <w:kinsoku/>
        <w:wordWrap/>
        <w:overflowPunct/>
        <w:topLinePunct w:val="0"/>
        <w:bidi w:val="0"/>
        <w:spacing w:line="360" w:lineRule="auto"/>
        <w:ind w:firstLine="422" w:firstLineChars="200"/>
        <w:jc w:val="left"/>
        <w:rPr>
          <w:rFonts w:hint="default" w:ascii="宋体" w:hAnsi="宋体"/>
          <w:b/>
          <w:bCs w:val="0"/>
          <w:szCs w:val="21"/>
          <w:highlight w:val="yellow"/>
          <w:lang w:val="en-US" w:eastAsia="zh-CN"/>
        </w:rPr>
      </w:pPr>
      <w:r>
        <w:rPr>
          <w:rFonts w:hint="eastAsia" w:asciiTheme="minorEastAsia" w:hAnsiTheme="minorEastAsia" w:eastAsiaTheme="minorEastAsia"/>
          <w:b/>
          <w:bCs w:val="0"/>
          <w:highlight w:val="yellow"/>
        </w:rPr>
        <w:t>★</w:t>
      </w:r>
      <w:r>
        <w:rPr>
          <w:rFonts w:hint="eastAsia" w:ascii="宋体" w:hAnsi="宋体"/>
          <w:b/>
          <w:bCs w:val="0"/>
          <w:szCs w:val="21"/>
          <w:highlight w:val="yellow"/>
          <w:lang w:val="en-US" w:eastAsia="zh-CN"/>
        </w:rPr>
        <w:t>1.本项目采用单价报价，单价限价为3,200.00元/人，</w:t>
      </w:r>
      <w:r>
        <w:rPr>
          <w:rFonts w:hint="eastAsia" w:asciiTheme="minorEastAsia" w:hAnsiTheme="minorEastAsia" w:eastAsiaTheme="minorEastAsia"/>
          <w:b/>
          <w:bCs w:val="0"/>
          <w:highlight w:val="yellow"/>
        </w:rPr>
        <w:t>投标单价报价不能超过单价限价，否则按无效投标处理</w:t>
      </w:r>
      <w:r>
        <w:rPr>
          <w:rFonts w:hint="eastAsia" w:ascii="宋体" w:hAnsi="宋体"/>
          <w:b/>
          <w:bCs w:val="0"/>
          <w:szCs w:val="21"/>
          <w:highlight w:val="yellow"/>
          <w:lang w:val="en-US" w:eastAsia="zh-CN"/>
        </w:rPr>
        <w:t>。</w:t>
      </w:r>
    </w:p>
    <w:p w14:paraId="668844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b w:val="0"/>
          <w:bCs/>
          <w:highlight w:val="none"/>
        </w:rPr>
      </w:pPr>
      <w:r>
        <w:rPr>
          <w:rFonts w:hint="eastAsia" w:asciiTheme="minorEastAsia" w:hAnsiTheme="minorEastAsia" w:eastAsiaTheme="minorEastAsia"/>
          <w:b w:val="0"/>
          <w:bCs/>
          <w:highlight w:val="none"/>
          <w:lang w:val="en-US" w:eastAsia="zh-CN"/>
        </w:rPr>
        <w:t>2.本项目服务费采用包干制，应包括服务成本（交通、食宿、保险等）、法定税费和企业的利润。由投标人根据招标文件所提供的资料自行测算投标报价；一经中标，投标报价作为中标人与采购人签定的合同单价金额，合同期限内不做调整。</w:t>
      </w:r>
    </w:p>
    <w:p w14:paraId="28F5F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b/>
          <w:bCs w:val="0"/>
          <w:highlight w:val="yellow"/>
        </w:rPr>
      </w:pPr>
      <w:r>
        <w:rPr>
          <w:rFonts w:hint="eastAsia" w:asciiTheme="minorEastAsia" w:hAnsiTheme="minorEastAsia" w:eastAsiaTheme="minorEastAsia"/>
          <w:b w:val="0"/>
          <w:bCs/>
          <w:highlight w:val="none"/>
          <w:lang w:val="en-US" w:eastAsia="zh-CN"/>
        </w:rPr>
        <w:t>3.结算时按实际人数进行结算，中标单价不变。投标人应根据本企业的成本自行决定报价，但不得以低于其企业成本的报价投标</w:t>
      </w:r>
      <w:r>
        <w:rPr>
          <w:rFonts w:hint="eastAsia" w:asciiTheme="minorEastAsia" w:hAnsiTheme="minorEastAsia" w:eastAsiaTheme="minorEastAsia"/>
          <w:b w:val="0"/>
          <w:bCs/>
          <w:highlight w:val="none"/>
        </w:rPr>
        <w:t>。</w:t>
      </w:r>
    </w:p>
    <w:p w14:paraId="2E24B5C8">
      <w:pPr>
        <w:keepNext w:val="0"/>
        <w:keepLines w:val="0"/>
        <w:pageBreakBefore w:val="0"/>
        <w:widowControl w:val="0"/>
        <w:kinsoku/>
        <w:wordWrap/>
        <w:overflowPunct/>
        <w:topLinePunct w:val="0"/>
        <w:bidi w:val="0"/>
        <w:spacing w:line="360" w:lineRule="auto"/>
        <w:rPr>
          <w:rFonts w:asciiTheme="minorEastAsia" w:hAnsiTheme="minorEastAsia" w:eastAsiaTheme="minorEastAsia"/>
          <w:b/>
          <w:bCs w:val="0"/>
          <w:highlight w:val="yellow"/>
        </w:rPr>
      </w:pPr>
      <w:r>
        <w:rPr>
          <w:rFonts w:hint="eastAsia" w:asciiTheme="minorEastAsia" w:hAnsiTheme="minorEastAsia" w:eastAsiaTheme="minorEastAsia"/>
          <w:b/>
          <w:bCs w:val="0"/>
          <w:highlight w:val="none"/>
        </w:rPr>
        <w:t>（</w:t>
      </w:r>
      <w:r>
        <w:rPr>
          <w:rFonts w:hint="eastAsia" w:asciiTheme="minorEastAsia" w:hAnsiTheme="minorEastAsia" w:eastAsiaTheme="minorEastAsia"/>
          <w:b/>
          <w:bCs w:val="0"/>
          <w:highlight w:val="none"/>
          <w:lang w:val="en-US" w:eastAsia="zh-CN"/>
        </w:rPr>
        <w:t>三</w:t>
      </w:r>
      <w:r>
        <w:rPr>
          <w:rFonts w:hint="eastAsia" w:asciiTheme="minorEastAsia" w:hAnsiTheme="minorEastAsia" w:eastAsiaTheme="minorEastAsia"/>
          <w:b/>
          <w:bCs w:val="0"/>
          <w:highlight w:val="none"/>
        </w:rPr>
        <w:t>）</w:t>
      </w:r>
      <w:r>
        <w:rPr>
          <w:rFonts w:hint="eastAsia" w:asciiTheme="minorEastAsia" w:hAnsiTheme="minorEastAsia" w:eastAsiaTheme="minorEastAsia"/>
          <w:b/>
          <w:bCs w:val="0"/>
          <w:highlight w:val="none"/>
          <w:lang w:val="en-US" w:eastAsia="zh-CN"/>
        </w:rPr>
        <w:t>其他</w:t>
      </w:r>
      <w:r>
        <w:rPr>
          <w:rFonts w:hint="eastAsia" w:asciiTheme="minorEastAsia" w:hAnsiTheme="minorEastAsia" w:eastAsiaTheme="minorEastAsia"/>
          <w:b/>
          <w:bCs w:val="0"/>
          <w:highlight w:val="none"/>
        </w:rPr>
        <w:t>要求：</w:t>
      </w:r>
    </w:p>
    <w:p w14:paraId="63FA8A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val="0"/>
          <w:bCs/>
        </w:rPr>
      </w:pPr>
      <w:r>
        <w:rPr>
          <w:rFonts w:hint="eastAsia" w:asciiTheme="minorEastAsia" w:hAnsiTheme="minorEastAsia" w:eastAsiaTheme="minorEastAsia"/>
          <w:b/>
          <w:bCs w:val="0"/>
          <w:highlight w:val="yellow"/>
        </w:rPr>
        <w:t>★</w:t>
      </w:r>
      <w:r>
        <w:rPr>
          <w:rFonts w:hint="eastAsia" w:asciiTheme="minorEastAsia" w:hAnsiTheme="minorEastAsia" w:eastAsiaTheme="minorEastAsia"/>
          <w:b/>
          <w:bCs w:val="0"/>
          <w:highlight w:val="yellow"/>
          <w:lang w:val="en-US" w:eastAsia="zh-CN"/>
        </w:rPr>
        <w:t>1.中标人为家庭困难学生的费用凭学校证明免费或减半，总人数控制在1%以内</w:t>
      </w:r>
      <w:r>
        <w:rPr>
          <w:rFonts w:hint="eastAsia" w:asciiTheme="minorEastAsia" w:hAnsiTheme="minorEastAsia" w:eastAsiaTheme="minorEastAsia"/>
          <w:b/>
          <w:bCs w:val="0"/>
          <w:highlight w:val="yellow"/>
        </w:rPr>
        <w:t>。</w:t>
      </w:r>
    </w:p>
    <w:p w14:paraId="0A382F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2.因本项目服务对象为学生，并且班级人数较多，需供开展类似省外研学活动的合作合同，以证明具有相关组织经验。</w:t>
      </w:r>
    </w:p>
    <w:p w14:paraId="0922A3D1">
      <w:pPr>
        <w:keepNext w:val="0"/>
        <w:keepLines w:val="0"/>
        <w:pageBreakBefore w:val="0"/>
        <w:widowControl w:val="0"/>
        <w:kinsoku/>
        <w:wordWrap/>
        <w:overflowPunct/>
        <w:topLinePunct w:val="0"/>
        <w:bidi w:val="0"/>
        <w:spacing w:line="360" w:lineRule="auto"/>
        <w:rPr>
          <w:rFonts w:asciiTheme="minorEastAsia" w:hAnsiTheme="minorEastAsia" w:eastAsiaTheme="minorEastAsia"/>
          <w:b/>
        </w:rPr>
      </w:pPr>
      <w:r>
        <w:rPr>
          <w:rFonts w:hint="eastAsia" w:asciiTheme="minorEastAsia" w:hAnsiTheme="minorEastAsia" w:eastAsiaTheme="minorEastAsia"/>
          <w:b/>
        </w:rPr>
        <w:t>（四）付款方式：</w:t>
      </w:r>
    </w:p>
    <w:p w14:paraId="6169237C">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1.学生活动经费由学生自行承担，其费用在研学活动开始前15个工作日内，由学生一次性付清全款给到中标人。</w:t>
      </w:r>
    </w:p>
    <w:p w14:paraId="095878F4">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2.教师活动经费（该部分支付上限为</w:t>
      </w:r>
      <w:r>
        <w:rPr>
          <w:rFonts w:hint="eastAsia" w:ascii="宋体" w:hAnsi="宋体" w:eastAsia="宋体"/>
          <w:snapToGrid w:val="0"/>
          <w:color w:val="auto"/>
          <w:sz w:val="21"/>
          <w:szCs w:val="21"/>
          <w:lang w:eastAsia="zh-CN"/>
        </w:rPr>
        <w:t>60,000.00</w:t>
      </w:r>
      <w:r>
        <w:rPr>
          <w:rFonts w:hint="eastAsia" w:ascii="宋体" w:hAnsi="宋体" w:eastAsia="宋体"/>
          <w:snapToGrid w:val="0"/>
          <w:color w:val="auto"/>
          <w:sz w:val="21"/>
          <w:szCs w:val="21"/>
        </w:rPr>
        <w:t>元</w:t>
      </w:r>
      <w:r>
        <w:rPr>
          <w:rFonts w:hint="eastAsia" w:ascii="宋体" w:hAnsi="宋体"/>
          <w:szCs w:val="21"/>
          <w:lang w:val="en-US" w:eastAsia="zh-CN"/>
        </w:rPr>
        <w:t>）学校自有承担的，其费用在活动结束后10个工作日内一次性付清全款。</w:t>
      </w:r>
    </w:p>
    <w:p w14:paraId="1DB360F4">
      <w:pPr>
        <w:keepNext w:val="0"/>
        <w:keepLines w:val="0"/>
        <w:pageBreakBefore w:val="0"/>
        <w:widowControl w:val="0"/>
        <w:kinsoku/>
        <w:wordWrap/>
        <w:overflowPunct/>
        <w:topLinePunct w:val="0"/>
        <w:bidi w:val="0"/>
        <w:spacing w:line="360" w:lineRule="auto"/>
        <w:rPr>
          <w:rFonts w:asciiTheme="minorEastAsia" w:hAnsiTheme="minorEastAsia" w:eastAsiaTheme="minorEastAsia"/>
          <w:b/>
        </w:rPr>
      </w:pPr>
      <w:r>
        <w:rPr>
          <w:rFonts w:hint="eastAsia" w:asciiTheme="minorEastAsia" w:hAnsiTheme="minorEastAsia" w:eastAsiaTheme="minorEastAsia"/>
          <w:b/>
        </w:rPr>
        <w:t>（五）验收要求：</w:t>
      </w:r>
    </w:p>
    <w:p w14:paraId="4986F37F">
      <w:pPr>
        <w:keepNext w:val="0"/>
        <w:keepLines w:val="0"/>
        <w:pageBreakBefore w:val="0"/>
        <w:widowControl w:val="0"/>
        <w:kinsoku/>
        <w:wordWrap/>
        <w:overflowPunct/>
        <w:topLinePunct w:val="0"/>
        <w:bidi w:val="0"/>
        <w:spacing w:line="360" w:lineRule="auto"/>
        <w:ind w:firstLine="424" w:firstLineChars="202"/>
        <w:rPr>
          <w:rFonts w:ascii="宋体" w:hAnsi="宋体" w:cs="宋体"/>
          <w:kern w:val="0"/>
          <w:szCs w:val="21"/>
        </w:rPr>
      </w:pPr>
      <w:r>
        <w:rPr>
          <w:rFonts w:hint="eastAsia" w:ascii="宋体" w:hAnsi="宋体" w:cs="宋体"/>
          <w:kern w:val="0"/>
          <w:szCs w:val="21"/>
        </w:rPr>
        <w:t>（1）服务期满，中标人按招标文件、投标文件及合同要求完成项目服务工作，并按要求完成验收文档准备后，中标人向采购人提出项目验收申请，验收工作由采购人组织有关人员进行。</w:t>
      </w:r>
    </w:p>
    <w:p w14:paraId="692FC5FC">
      <w:pPr>
        <w:keepNext w:val="0"/>
        <w:keepLines w:val="0"/>
        <w:pageBreakBefore w:val="0"/>
        <w:widowControl w:val="0"/>
        <w:kinsoku/>
        <w:wordWrap/>
        <w:overflowPunct/>
        <w:topLinePunct w:val="0"/>
        <w:bidi w:val="0"/>
        <w:spacing w:line="360" w:lineRule="auto"/>
        <w:ind w:firstLine="424" w:firstLineChars="202"/>
        <w:rPr>
          <w:rFonts w:ascii="宋体" w:hAnsi="宋体" w:cs="宋体"/>
          <w:kern w:val="0"/>
          <w:szCs w:val="21"/>
        </w:rPr>
      </w:pPr>
      <w:r>
        <w:rPr>
          <w:rFonts w:hint="eastAsia" w:ascii="宋体" w:hAnsi="宋体" w:cs="宋体"/>
          <w:kern w:val="0"/>
          <w:szCs w:val="21"/>
        </w:rPr>
        <w:t>（2）当满足以下条作时，采购人向中标人发出验收报告：</w:t>
      </w:r>
    </w:p>
    <w:p w14:paraId="367F1938">
      <w:pPr>
        <w:keepNext w:val="0"/>
        <w:keepLines w:val="0"/>
        <w:pageBreakBefore w:val="0"/>
        <w:widowControl w:val="0"/>
        <w:kinsoku/>
        <w:wordWrap/>
        <w:overflowPunct/>
        <w:topLinePunct w:val="0"/>
        <w:bidi w:val="0"/>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4E420C1E">
      <w:pPr>
        <w:keepNext w:val="0"/>
        <w:keepLines w:val="0"/>
        <w:pageBreakBefore w:val="0"/>
        <w:widowControl w:val="0"/>
        <w:kinsoku/>
        <w:wordWrap/>
        <w:overflowPunct/>
        <w:topLinePunct w:val="0"/>
        <w:bidi w:val="0"/>
        <w:spacing w:line="288" w:lineRule="auto"/>
        <w:ind w:firstLine="420" w:firstLineChars="200"/>
        <w:rPr>
          <w:rFonts w:ascii="宋体" w:hAnsi="宋体" w:cs="楷体"/>
          <w:bCs/>
          <w:szCs w:val="24"/>
        </w:rPr>
      </w:pPr>
      <w:r>
        <w:rPr>
          <w:rFonts w:hint="eastAsia" w:ascii="宋体" w:hAnsi="宋体" w:cs="宋体"/>
          <w:kern w:val="0"/>
          <w:szCs w:val="21"/>
        </w:rPr>
        <w:t>b、符合投标文件及合同技术服务要求，通过采购人验收</w:t>
      </w:r>
      <w:r>
        <w:rPr>
          <w:rFonts w:hint="eastAsia" w:ascii="宋体" w:hAnsi="宋体" w:cs="楷体"/>
          <w:bCs/>
          <w:szCs w:val="24"/>
        </w:rPr>
        <w:t>。</w:t>
      </w:r>
    </w:p>
    <w:p w14:paraId="5311169C">
      <w:pPr>
        <w:keepNext w:val="0"/>
        <w:keepLines w:val="0"/>
        <w:pageBreakBefore w:val="0"/>
        <w:widowControl w:val="0"/>
        <w:kinsoku/>
        <w:wordWrap/>
        <w:overflowPunct/>
        <w:topLinePunct w:val="0"/>
        <w:bidi w:val="0"/>
        <w:spacing w:line="360" w:lineRule="auto"/>
        <w:rPr>
          <w:rFonts w:asciiTheme="minorEastAsia" w:hAnsiTheme="minorEastAsia" w:eastAsiaTheme="minorEastAsia"/>
          <w:b/>
        </w:rPr>
      </w:pPr>
      <w:r>
        <w:rPr>
          <w:rFonts w:hint="eastAsia" w:asciiTheme="minorEastAsia" w:hAnsiTheme="minorEastAsia" w:eastAsiaTheme="minorEastAsia"/>
          <w:b/>
        </w:rPr>
        <w:t>（六）违约责任：</w:t>
      </w:r>
    </w:p>
    <w:p w14:paraId="5D7BE570">
      <w:pPr>
        <w:keepNext w:val="0"/>
        <w:keepLines w:val="0"/>
        <w:pageBreakBefore w:val="0"/>
        <w:widowControl w:val="0"/>
        <w:kinsoku/>
        <w:wordWrap/>
        <w:overflowPunct/>
        <w:topLinePunct w:val="0"/>
        <w:bidi w:val="0"/>
        <w:spacing w:line="360" w:lineRule="auto"/>
        <w:ind w:firstLine="420" w:firstLineChars="200"/>
        <w:rPr>
          <w:rFonts w:ascii="宋体" w:hAnsi="宋体" w:cs="楷体"/>
          <w:bCs/>
          <w:szCs w:val="24"/>
        </w:rPr>
      </w:pPr>
      <w:r>
        <w:rPr>
          <w:rFonts w:hint="eastAsia" w:ascii="宋体" w:hAnsi="宋体" w:cs="楷体"/>
          <w:bCs/>
          <w:szCs w:val="24"/>
        </w:rPr>
        <w:t>按合同要求</w:t>
      </w:r>
      <w:r>
        <w:rPr>
          <w:rFonts w:hint="eastAsia" w:ascii="宋体" w:hAnsi="宋体" w:cs="楷体"/>
          <w:bCs/>
          <w:szCs w:val="24"/>
          <w:lang w:val="en-US" w:eastAsia="zh-CN"/>
        </w:rPr>
        <w:t>执行</w:t>
      </w:r>
      <w:r>
        <w:rPr>
          <w:rFonts w:hint="eastAsia" w:ascii="宋体" w:hAnsi="宋体" w:cs="楷体"/>
          <w:bCs/>
          <w:szCs w:val="24"/>
        </w:rPr>
        <w:t>。</w:t>
      </w:r>
    </w:p>
    <w:p w14:paraId="16561E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szCs w:val="24"/>
          <w:lang w:eastAsia="zh-CN"/>
        </w:rPr>
      </w:pPr>
      <w:r>
        <w:rPr>
          <w:rFonts w:hint="eastAsia" w:ascii="宋体" w:hAnsi="宋体" w:cs="楷体"/>
          <w:b/>
          <w:bCs w:val="0"/>
          <w:szCs w:val="24"/>
          <w:lang w:eastAsia="zh-CN"/>
        </w:rPr>
        <w:t>（</w:t>
      </w:r>
      <w:r>
        <w:rPr>
          <w:rFonts w:hint="eastAsia" w:ascii="宋体" w:hAnsi="宋体" w:cs="楷体"/>
          <w:b/>
          <w:bCs w:val="0"/>
          <w:szCs w:val="24"/>
          <w:lang w:val="en-US" w:eastAsia="zh-CN"/>
        </w:rPr>
        <w:t>七</w:t>
      </w:r>
      <w:r>
        <w:rPr>
          <w:rFonts w:hint="eastAsia" w:ascii="宋体" w:hAnsi="宋体" w:cs="楷体"/>
          <w:b/>
          <w:bCs w:val="0"/>
          <w:szCs w:val="24"/>
          <w:lang w:eastAsia="zh-CN"/>
        </w:rPr>
        <w:t>）警示条款：</w:t>
      </w:r>
    </w:p>
    <w:p w14:paraId="72CCA31F">
      <w:pPr>
        <w:spacing w:line="360" w:lineRule="auto"/>
        <w:ind w:firstLine="420" w:firstLineChars="200"/>
        <w:rPr>
          <w:rFonts w:ascii="宋体" w:hAnsi="宋体" w:cs="楷体"/>
          <w:bCs/>
        </w:rPr>
      </w:pPr>
      <w:r>
        <w:rPr>
          <w:rFonts w:hint="eastAsia" w:ascii="宋体" w:hAnsi="宋体" w:cs="楷体"/>
          <w:bCs/>
          <w:szCs w:val="24"/>
          <w:lang w:eastAsia="zh-CN"/>
        </w:rPr>
        <w:t>采购人有权对投标人就本项目招标文件要求提供的相关证明材料（原件）进行审查。投标人提供虚假资料被查实的，则可能面临被取消本项目中标资格、列入不良行为记录名单且三年内禁止参与采购人采购活动的风险。</w:t>
      </w:r>
    </w:p>
    <w:p w14:paraId="1B06AE9D">
      <w:pPr>
        <w:ind w:firstLine="420" w:firstLineChars="200"/>
      </w:pPr>
      <w:bookmarkStart w:id="8" w:name="_Toc135293161"/>
    </w:p>
    <w:p w14:paraId="3301BB2A">
      <w:pPr>
        <w:rPr>
          <w:rFonts w:hint="eastAsia"/>
        </w:rPr>
      </w:pPr>
      <w:r>
        <w:rPr>
          <w:rFonts w:hint="eastAsia"/>
        </w:rPr>
        <w:br w:type="page"/>
      </w:r>
    </w:p>
    <w:p w14:paraId="73B39F47">
      <w:pPr>
        <w:pStyle w:val="2"/>
        <w:rPr>
          <w:rFonts w:hint="eastAsia"/>
        </w:rPr>
      </w:pPr>
    </w:p>
    <w:p w14:paraId="260C741C">
      <w:pPr>
        <w:pStyle w:val="2"/>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2"/>
        <w:keepNext w:val="0"/>
        <w:keepLines w:val="0"/>
        <w:pageBreakBefore w:val="0"/>
        <w:widowControl w:val="0"/>
        <w:kinsoku/>
        <w:wordWrap/>
        <w:overflowPunct/>
        <w:topLinePunct w:val="0"/>
        <w:bidi w:val="0"/>
        <w:spacing w:after="0"/>
        <w:rPr>
          <w:rFonts w:hint="eastAsia"/>
        </w:rPr>
      </w:pPr>
    </w:p>
    <w:p w14:paraId="1A9745C8">
      <w:pPr>
        <w:pStyle w:val="2"/>
        <w:keepNext w:val="0"/>
        <w:keepLines w:val="0"/>
        <w:pageBreakBefore w:val="0"/>
        <w:widowControl w:val="0"/>
        <w:kinsoku/>
        <w:wordWrap/>
        <w:overflowPunct/>
        <w:topLinePunct w:val="0"/>
        <w:bidi w:val="0"/>
        <w:spacing w:after="0"/>
      </w:pPr>
      <w:r>
        <w:rPr>
          <w:rFonts w:hint="eastAsia"/>
        </w:rPr>
        <w:t>第四章  评标方法和标准</w:t>
      </w:r>
      <w:bookmarkEnd w:id="9"/>
    </w:p>
    <w:p w14:paraId="4A994828">
      <w:pPr>
        <w:keepNext w:val="0"/>
        <w:keepLines w:val="0"/>
        <w:pageBreakBefore w:val="0"/>
        <w:widowControl w:val="0"/>
        <w:kinsoku/>
        <w:wordWrap/>
        <w:overflowPunct/>
        <w:topLinePunct w:val="0"/>
        <w:bidi w:val="0"/>
      </w:pPr>
    </w:p>
    <w:p w14:paraId="2F2DF2E1">
      <w:pPr>
        <w:pStyle w:val="4"/>
        <w:keepNext w:val="0"/>
        <w:keepLines w:val="0"/>
        <w:pageBreakBefore w:val="0"/>
        <w:widowControl w:val="0"/>
        <w:kinsoku/>
        <w:wordWrap/>
        <w:overflowPunct/>
        <w:topLinePunct w:val="0"/>
        <w:bidi w:val="0"/>
        <w:spacing w:before="0" w:after="0"/>
      </w:pPr>
      <w:bookmarkStart w:id="10" w:name="_Toc44690702"/>
      <w:bookmarkStart w:id="11" w:name="_Toc44690429"/>
      <w:bookmarkStart w:id="12" w:name="_Toc135293163"/>
      <w:bookmarkStart w:id="13" w:name="_Toc44691161"/>
      <w:bookmarkStart w:id="14" w:name="_Toc44691393"/>
      <w:r>
        <w:rPr>
          <w:rFonts w:hint="eastAsia"/>
        </w:rPr>
        <w:t>一、</w:t>
      </w:r>
      <w:r>
        <w:t>评标方法</w:t>
      </w:r>
      <w:bookmarkEnd w:id="10"/>
      <w:bookmarkEnd w:id="11"/>
      <w:bookmarkEnd w:id="12"/>
      <w:bookmarkEnd w:id="13"/>
      <w:bookmarkEnd w:id="14"/>
    </w:p>
    <w:p w14:paraId="21D0B10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36D41D7">
      <w:pPr>
        <w:pStyle w:val="4"/>
        <w:keepNext w:val="0"/>
        <w:keepLines w:val="0"/>
        <w:pageBreakBefore w:val="0"/>
        <w:widowControl w:val="0"/>
        <w:kinsoku/>
        <w:wordWrap/>
        <w:overflowPunct/>
        <w:topLinePunct w:val="0"/>
        <w:bidi w:val="0"/>
        <w:spacing w:before="0" w:after="0"/>
      </w:pPr>
      <w:bookmarkStart w:id="15" w:name="_Toc135293164"/>
      <w:r>
        <w:rPr>
          <w:rFonts w:hint="eastAsia"/>
        </w:rPr>
        <w:t>二、评标标准</w:t>
      </w:r>
      <w:bookmarkEnd w:id="15"/>
    </w:p>
    <w:p w14:paraId="15046C29">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6336857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55</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223EB6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社会实践活动实施方案</w:t>
            </w:r>
          </w:p>
        </w:tc>
        <w:tc>
          <w:tcPr>
            <w:tcW w:w="709" w:type="dxa"/>
            <w:vAlign w:val="center"/>
          </w:tcPr>
          <w:p w14:paraId="490D205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15</w:t>
            </w:r>
          </w:p>
        </w:tc>
        <w:tc>
          <w:tcPr>
            <w:tcW w:w="5953" w:type="dxa"/>
            <w:vAlign w:val="top"/>
          </w:tcPr>
          <w:p w14:paraId="12D87B5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DAC8CE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w:t>
            </w:r>
            <w:r>
              <w:rPr>
                <w:rFonts w:hint="eastAsia" w:ascii="宋体" w:hAnsi="宋体" w:eastAsia="宋体" w:cs="宋体"/>
                <w:kern w:val="0"/>
                <w:sz w:val="21"/>
                <w:szCs w:val="21"/>
                <w:lang w:val="en-US" w:eastAsia="zh-CN"/>
              </w:rPr>
              <w:t>社会实践活动实施方案</w:t>
            </w:r>
            <w:r>
              <w:rPr>
                <w:rFonts w:hint="eastAsia" w:ascii="宋体" w:hAnsi="宋体" w:eastAsia="宋体" w:cs="宋体"/>
                <w:kern w:val="0"/>
                <w:sz w:val="21"/>
                <w:szCs w:val="21"/>
              </w:rPr>
              <w:t>，包含以下内容：</w:t>
            </w:r>
          </w:p>
          <w:p w14:paraId="54D6674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活动主题</w:t>
            </w:r>
            <w:r>
              <w:rPr>
                <w:rFonts w:hint="eastAsia" w:ascii="宋体" w:hAnsi="宋体" w:eastAsia="宋体" w:cs="宋体"/>
                <w:kern w:val="0"/>
                <w:sz w:val="21"/>
                <w:szCs w:val="21"/>
                <w:lang w:val="en-US" w:eastAsia="zh-CN"/>
              </w:rPr>
              <w:t>设计</w:t>
            </w:r>
            <w:r>
              <w:rPr>
                <w:rFonts w:hint="eastAsia" w:ascii="宋体" w:hAnsi="宋体" w:eastAsia="宋体" w:cs="宋体"/>
                <w:kern w:val="0"/>
                <w:sz w:val="21"/>
                <w:szCs w:val="21"/>
              </w:rPr>
              <w:t>；</w:t>
            </w:r>
          </w:p>
          <w:p w14:paraId="2DD15D5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行程规划</w:t>
            </w:r>
            <w:r>
              <w:rPr>
                <w:rFonts w:hint="eastAsia" w:ascii="宋体" w:hAnsi="宋体" w:eastAsia="宋体" w:cs="宋体"/>
                <w:kern w:val="0"/>
                <w:sz w:val="21"/>
                <w:szCs w:val="21"/>
                <w:lang w:val="en-US" w:eastAsia="zh-CN"/>
              </w:rPr>
              <w:t>安排</w:t>
            </w:r>
            <w:r>
              <w:rPr>
                <w:rFonts w:hint="eastAsia" w:ascii="宋体" w:hAnsi="宋体" w:eastAsia="宋体" w:cs="宋体"/>
                <w:kern w:val="0"/>
                <w:sz w:val="21"/>
                <w:szCs w:val="21"/>
              </w:rPr>
              <w:t>；</w:t>
            </w:r>
          </w:p>
          <w:p w14:paraId="1D2E155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3.住宿及餐饮安排</w:t>
            </w:r>
            <w:r>
              <w:rPr>
                <w:rFonts w:hint="eastAsia" w:ascii="宋体" w:hAnsi="宋体" w:eastAsia="宋体" w:cs="宋体"/>
                <w:kern w:val="0"/>
                <w:sz w:val="21"/>
                <w:szCs w:val="21"/>
                <w:lang w:eastAsia="zh-CN"/>
              </w:rPr>
              <w:t>。</w:t>
            </w:r>
          </w:p>
          <w:p w14:paraId="0483EA4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A22130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30BFF8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分；其他情况不得分。在此基础上，专家根据各供应商的具体响应内容按照量化的评审因素指标进一步评审</w:t>
            </w:r>
            <w:r>
              <w:rPr>
                <w:rFonts w:hint="eastAsia" w:ascii="宋体" w:hAnsi="宋体" w:eastAsia="宋体" w:cs="宋体"/>
                <w:sz w:val="21"/>
                <w:szCs w:val="21"/>
                <w:lang w:eastAsia="zh-CN"/>
              </w:rPr>
              <w:t>，</w:t>
            </w:r>
            <w:r>
              <w:rPr>
                <w:rFonts w:hint="eastAsia" w:ascii="宋体" w:hAnsi="宋体" w:eastAsia="宋体" w:cs="宋体"/>
                <w:sz w:val="21"/>
                <w:szCs w:val="21"/>
              </w:rPr>
              <w:t>根据实施方案整体全面性、具体性、针对性、合理性、可操作性进行评分：</w:t>
            </w:r>
          </w:p>
          <w:p w14:paraId="3E78F5D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（1）实施方案内容完整准确；</w:t>
            </w:r>
          </w:p>
          <w:p w14:paraId="4CACE00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（2）实施方案内容具体；</w:t>
            </w:r>
          </w:p>
          <w:p w14:paraId="3B679AD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（3）实施方案内容针对性强；</w:t>
            </w:r>
          </w:p>
          <w:p w14:paraId="3AD81E5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（4）实施方案内容科学合理；</w:t>
            </w:r>
          </w:p>
          <w:p w14:paraId="6964C61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（5）实施方案内容可操作性强。</w:t>
            </w:r>
          </w:p>
          <w:p w14:paraId="33F9F6B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满足以上5项要求的评价为优，加</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p w14:paraId="46C6326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满足以上4项要求的评价为良，加</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341B3D4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满足以上3项要求的评价为中，加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50F442C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其它情况的评价为差，不加分。</w:t>
            </w:r>
          </w:p>
          <w:p w14:paraId="24FB7E5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注：以上累计得分，最高得</w:t>
            </w:r>
            <w:r>
              <w:rPr>
                <w:rFonts w:hint="eastAsia" w:ascii="宋体" w:hAnsi="宋体" w:eastAsia="宋体" w:cs="宋体"/>
                <w:sz w:val="21"/>
                <w:szCs w:val="21"/>
                <w:lang w:val="en-US" w:eastAsia="zh-CN"/>
              </w:rPr>
              <w:t>15</w:t>
            </w:r>
            <w:r>
              <w:rPr>
                <w:rFonts w:hint="eastAsia" w:ascii="宋体" w:hAnsi="宋体" w:eastAsia="宋体" w:cs="宋体"/>
                <w:sz w:val="21"/>
                <w:szCs w:val="21"/>
              </w:rPr>
              <w:t>分。如果评审为差，要求专家书面说明理由，并记录在档。</w:t>
            </w:r>
          </w:p>
        </w:tc>
        <w:tc>
          <w:tcPr>
            <w:tcW w:w="1187" w:type="dxa"/>
            <w:vAlign w:val="center"/>
          </w:tcPr>
          <w:p w14:paraId="50F1958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709" w:type="dxa"/>
            <w:vAlign w:val="center"/>
          </w:tcPr>
          <w:p w14:paraId="74E131C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15</w:t>
            </w:r>
          </w:p>
        </w:tc>
        <w:tc>
          <w:tcPr>
            <w:tcW w:w="5953" w:type="dxa"/>
            <w:vAlign w:val="top"/>
          </w:tcPr>
          <w:p w14:paraId="05B4A4F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4DA0EC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33CBBC0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1.详细阐述本项目存在的重难点问题；</w:t>
            </w:r>
          </w:p>
          <w:p w14:paraId="490A153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2.根据项目重难点，详细阐述对应的应对措施；</w:t>
            </w:r>
          </w:p>
          <w:p w14:paraId="4E8EEF7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.提出项目实施的相关合理化建议。</w:t>
            </w:r>
          </w:p>
          <w:p w14:paraId="71975C73">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3086B2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1CD9AD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分；其他情况不得分。在此基础上，专家根据各供应商的具体响应内容按照量化的评审因素指标进一步评审</w:t>
            </w:r>
            <w:r>
              <w:rPr>
                <w:rFonts w:hint="eastAsia" w:ascii="宋体" w:hAnsi="宋体" w:eastAsia="宋体" w:cs="宋体"/>
                <w:sz w:val="21"/>
                <w:szCs w:val="21"/>
                <w:lang w:eastAsia="zh-CN"/>
              </w:rPr>
              <w:t>，</w:t>
            </w:r>
            <w:r>
              <w:rPr>
                <w:rFonts w:hint="eastAsia" w:ascii="宋体" w:hAnsi="宋体" w:eastAsia="宋体" w:cs="宋体"/>
                <w:sz w:val="21"/>
                <w:szCs w:val="21"/>
              </w:rPr>
              <w:t>根据实施方案整体全面性、具体性、针对性、合理性、可操作性进行评分：</w:t>
            </w:r>
          </w:p>
          <w:p w14:paraId="637A1FF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（1）实施方案内容完整准确；</w:t>
            </w:r>
          </w:p>
          <w:p w14:paraId="3270AA9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（2）实施方案内容具体；</w:t>
            </w:r>
          </w:p>
          <w:p w14:paraId="251707E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（3）实施方案内容针对性强；</w:t>
            </w:r>
          </w:p>
          <w:p w14:paraId="61B1689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（4）实施方案内容科学合理；</w:t>
            </w:r>
          </w:p>
          <w:p w14:paraId="27A5E99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（5）实施方案内容可操作性强。</w:t>
            </w:r>
          </w:p>
          <w:p w14:paraId="6326644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满足以上5项要求的评价为优，加</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p w14:paraId="54E5FCB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满足以上4项要求的评价为良，加</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4100ACB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满足以上3项要求的评价为中，加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2290BD7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其它情况的评价为差，不加分。</w:t>
            </w:r>
          </w:p>
          <w:p w14:paraId="1CFD2E0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注：以上累计得分，最高得</w:t>
            </w:r>
            <w:r>
              <w:rPr>
                <w:rFonts w:hint="eastAsia" w:ascii="宋体" w:hAnsi="宋体" w:eastAsia="宋体" w:cs="宋体"/>
                <w:sz w:val="21"/>
                <w:szCs w:val="21"/>
                <w:lang w:val="en-US" w:eastAsia="zh-CN"/>
              </w:rPr>
              <w:t>15</w:t>
            </w:r>
            <w:r>
              <w:rPr>
                <w:rFonts w:hint="eastAsia" w:ascii="宋体" w:hAnsi="宋体" w:eastAsia="宋体" w:cs="宋体"/>
                <w:sz w:val="21"/>
                <w:szCs w:val="21"/>
              </w:rPr>
              <w:t>分。如果评审为差，要求专家书面说明理由，并记录在档。</w:t>
            </w:r>
          </w:p>
        </w:tc>
        <w:tc>
          <w:tcPr>
            <w:tcW w:w="1187" w:type="dxa"/>
            <w:vAlign w:val="center"/>
          </w:tcPr>
          <w:p w14:paraId="05A8D7C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754" w:type="dxa"/>
            <w:vAlign w:val="center"/>
          </w:tcPr>
          <w:p w14:paraId="506E387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709" w:type="dxa"/>
            <w:vAlign w:val="center"/>
          </w:tcPr>
          <w:p w14:paraId="364828A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15</w:t>
            </w:r>
          </w:p>
        </w:tc>
        <w:tc>
          <w:tcPr>
            <w:tcW w:w="5953" w:type="dxa"/>
            <w:vAlign w:val="top"/>
          </w:tcPr>
          <w:p w14:paraId="0BB5D54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9F16A0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30A3E1D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1.人员管理</w:t>
            </w:r>
            <w:r>
              <w:rPr>
                <w:rFonts w:hint="eastAsia" w:ascii="宋体" w:hAnsi="宋体" w:eastAsia="宋体" w:cs="宋体"/>
                <w:kern w:val="0"/>
                <w:sz w:val="21"/>
                <w:szCs w:val="21"/>
                <w:lang w:eastAsia="zh-CN"/>
              </w:rPr>
              <w:t>制度；</w:t>
            </w:r>
          </w:p>
          <w:p w14:paraId="4A5DBB2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2.交通运输保障措施</w:t>
            </w:r>
            <w:r>
              <w:rPr>
                <w:rFonts w:hint="eastAsia" w:ascii="宋体" w:hAnsi="宋体" w:eastAsia="宋体" w:cs="宋体"/>
                <w:kern w:val="0"/>
                <w:sz w:val="21"/>
                <w:szCs w:val="21"/>
                <w:lang w:eastAsia="zh-CN"/>
              </w:rPr>
              <w:t>；</w:t>
            </w:r>
          </w:p>
          <w:p w14:paraId="6296E85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食品安全和服务质量保障措施；</w:t>
            </w:r>
          </w:p>
          <w:p w14:paraId="57E2D00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4.场地及设备</w:t>
            </w:r>
            <w:r>
              <w:rPr>
                <w:rFonts w:hint="eastAsia" w:ascii="宋体" w:hAnsi="宋体" w:eastAsia="宋体" w:cs="宋体"/>
                <w:kern w:val="0"/>
                <w:sz w:val="21"/>
                <w:szCs w:val="21"/>
                <w:lang w:eastAsia="zh-CN"/>
              </w:rPr>
              <w:t>管理措施及方案。</w:t>
            </w:r>
          </w:p>
          <w:p w14:paraId="16B80F99">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521F3AE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60F33B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8</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分；其他情况不得分。在此基础上，专家根据各供应商的具体响应内容按照量化的评审因素指标进一步评审</w:t>
            </w:r>
            <w:r>
              <w:rPr>
                <w:rFonts w:hint="eastAsia" w:ascii="宋体" w:hAnsi="宋体" w:eastAsia="宋体" w:cs="宋体"/>
                <w:sz w:val="21"/>
                <w:szCs w:val="21"/>
                <w:lang w:eastAsia="zh-CN"/>
              </w:rPr>
              <w:t>，</w:t>
            </w:r>
            <w:r>
              <w:rPr>
                <w:rFonts w:hint="eastAsia" w:ascii="宋体" w:hAnsi="宋体" w:eastAsia="宋体" w:cs="宋体"/>
                <w:sz w:val="21"/>
                <w:szCs w:val="21"/>
              </w:rPr>
              <w:t>根据实施方案整体全面性、具体性、针对性、合理性、可操作性进行评分：</w:t>
            </w:r>
          </w:p>
          <w:p w14:paraId="1DA3580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（1）实施方案内容完整准确；</w:t>
            </w:r>
          </w:p>
          <w:p w14:paraId="0DE2247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（2）实施方案内容具体；</w:t>
            </w:r>
          </w:p>
          <w:p w14:paraId="195D5BA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（3）实施方案内容针对性强；</w:t>
            </w:r>
          </w:p>
          <w:p w14:paraId="5E946AA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（4）实施方案内容科学合理；</w:t>
            </w:r>
          </w:p>
          <w:p w14:paraId="2ADA2C5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（5）实施方案内容可操作性强。</w:t>
            </w:r>
          </w:p>
          <w:p w14:paraId="5BBEED0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满足以上5项要求的评价为优，加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155745E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满足以上4项要求的评价为良，加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331B994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满足以上3项要求的评价为中，加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6A3C2D4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其它情况的评价为差，不加分。</w:t>
            </w:r>
          </w:p>
          <w:p w14:paraId="4650893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注：以上累计得分，最高得</w:t>
            </w:r>
            <w:r>
              <w:rPr>
                <w:rFonts w:hint="eastAsia" w:ascii="宋体" w:hAnsi="宋体" w:eastAsia="宋体" w:cs="宋体"/>
                <w:sz w:val="21"/>
                <w:szCs w:val="21"/>
                <w:lang w:val="en-US" w:eastAsia="zh-CN"/>
              </w:rPr>
              <w:t>15</w:t>
            </w:r>
            <w:r>
              <w:rPr>
                <w:rFonts w:hint="eastAsia" w:ascii="宋体" w:hAnsi="宋体" w:eastAsia="宋体" w:cs="宋体"/>
                <w:sz w:val="21"/>
                <w:szCs w:val="21"/>
              </w:rPr>
              <w:t>分。如果评审为差，要求专家书面说明理由，并记录在档。</w:t>
            </w:r>
          </w:p>
        </w:tc>
        <w:tc>
          <w:tcPr>
            <w:tcW w:w="1187" w:type="dxa"/>
            <w:vAlign w:val="center"/>
          </w:tcPr>
          <w:p w14:paraId="7B7D9FB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7" w:hRule="atLeast"/>
          <w:jc w:val="center"/>
        </w:trPr>
        <w:tc>
          <w:tcPr>
            <w:tcW w:w="754" w:type="dxa"/>
            <w:vAlign w:val="center"/>
          </w:tcPr>
          <w:p w14:paraId="2682548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4</w:t>
            </w:r>
          </w:p>
        </w:tc>
        <w:tc>
          <w:tcPr>
            <w:tcW w:w="1143" w:type="dxa"/>
            <w:vAlign w:val="center"/>
          </w:tcPr>
          <w:p w14:paraId="0E029A9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应急预案</w:t>
            </w:r>
          </w:p>
        </w:tc>
        <w:tc>
          <w:tcPr>
            <w:tcW w:w="709" w:type="dxa"/>
            <w:vAlign w:val="center"/>
          </w:tcPr>
          <w:p w14:paraId="7274A6F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10</w:t>
            </w:r>
          </w:p>
        </w:tc>
        <w:tc>
          <w:tcPr>
            <w:tcW w:w="5953" w:type="dxa"/>
            <w:vAlign w:val="top"/>
          </w:tcPr>
          <w:p w14:paraId="7450CFC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5A5AA1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w:t>
            </w:r>
            <w:r>
              <w:rPr>
                <w:rFonts w:hint="eastAsia" w:ascii="宋体" w:hAnsi="宋体" w:eastAsia="宋体" w:cs="宋体"/>
                <w:sz w:val="21"/>
                <w:szCs w:val="21"/>
                <w:lang w:val="en-US" w:eastAsia="zh-CN"/>
              </w:rPr>
              <w:t>应急预案</w:t>
            </w:r>
            <w:r>
              <w:rPr>
                <w:rFonts w:hint="eastAsia" w:ascii="宋体" w:hAnsi="宋体" w:eastAsia="宋体" w:cs="宋体"/>
                <w:sz w:val="21"/>
                <w:szCs w:val="21"/>
              </w:rPr>
              <w:t>，包含以下内容：</w:t>
            </w:r>
          </w:p>
          <w:p w14:paraId="7302249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1.针对可能出现的安全风险（如自然灾害、交通事故、意外伤害、学生受伤等）进行评估和防范；</w:t>
            </w:r>
          </w:p>
          <w:p w14:paraId="5D38D3C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2.食品安全事故应急预案；</w:t>
            </w:r>
          </w:p>
          <w:p w14:paraId="2B50F40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3.消防安全事故应急预案；</w:t>
            </w:r>
          </w:p>
          <w:p w14:paraId="0D9913E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4.临时停水停电应急预案。</w:t>
            </w:r>
          </w:p>
          <w:p w14:paraId="5CC0FAD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72359F5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D048E2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分；其他情况不得分。在此基础上，专家根据各供应商的具体响应内容按照量化的评审因素指标进一步评审</w:t>
            </w:r>
            <w:r>
              <w:rPr>
                <w:rFonts w:hint="eastAsia" w:ascii="宋体" w:hAnsi="宋体" w:eastAsia="宋体" w:cs="宋体"/>
                <w:sz w:val="21"/>
                <w:szCs w:val="21"/>
                <w:lang w:eastAsia="zh-CN"/>
              </w:rPr>
              <w:t>，</w:t>
            </w:r>
            <w:r>
              <w:rPr>
                <w:rFonts w:hint="eastAsia" w:ascii="宋体" w:hAnsi="宋体" w:eastAsia="宋体" w:cs="宋体"/>
                <w:sz w:val="21"/>
                <w:szCs w:val="21"/>
              </w:rPr>
              <w:t>根据实施方案整体全面性、具体性、针对性、合理性、可操作性进行评分：</w:t>
            </w:r>
          </w:p>
          <w:p w14:paraId="411CF54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（1）实施方案内容完整准确；</w:t>
            </w:r>
          </w:p>
          <w:p w14:paraId="71DEE9D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（2）实施方案内容具体；</w:t>
            </w:r>
          </w:p>
          <w:p w14:paraId="150C033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（3）实施方案内容针对性强；</w:t>
            </w:r>
          </w:p>
          <w:p w14:paraId="45B1AC1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（4）实施方案内容科学合理；</w:t>
            </w:r>
          </w:p>
          <w:p w14:paraId="66DB5F7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（5）实施方案内容可操作性强。</w:t>
            </w:r>
          </w:p>
          <w:p w14:paraId="6409A51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满足以上5项要求的评价为优，加</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2A3F1BA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满足以上4项要求的评价为良，加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35CE32C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满足以上3项要求的评价为中，加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6C35A53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其它情况的评价为差，不加分。</w:t>
            </w:r>
          </w:p>
          <w:p w14:paraId="71B47AD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注：以上累计得分，最高得</w:t>
            </w:r>
            <w:r>
              <w:rPr>
                <w:rFonts w:hint="eastAsia" w:ascii="宋体" w:hAnsi="宋体" w:eastAsia="宋体" w:cs="宋体"/>
                <w:sz w:val="21"/>
                <w:szCs w:val="21"/>
                <w:lang w:val="en-US" w:eastAsia="zh-CN"/>
              </w:rPr>
              <w:t>10</w:t>
            </w:r>
            <w:r>
              <w:rPr>
                <w:rFonts w:hint="eastAsia" w:ascii="宋体" w:hAnsi="宋体" w:eastAsia="宋体" w:cs="宋体"/>
                <w:sz w:val="21"/>
                <w:szCs w:val="21"/>
              </w:rPr>
              <w:t>分。如果评审为差，要求专家书面说明理由，并记录在档。</w:t>
            </w:r>
          </w:p>
        </w:tc>
        <w:tc>
          <w:tcPr>
            <w:tcW w:w="1187" w:type="dxa"/>
            <w:vAlign w:val="center"/>
          </w:tcPr>
          <w:p w14:paraId="10ADEC3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35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w:t>
            </w:r>
          </w:p>
        </w:tc>
        <w:tc>
          <w:tcPr>
            <w:tcW w:w="1143" w:type="dxa"/>
            <w:vAlign w:val="center"/>
          </w:tcPr>
          <w:p w14:paraId="7560AD4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认证</w:t>
            </w:r>
            <w:r>
              <w:rPr>
                <w:rFonts w:hint="eastAsia" w:ascii="宋体" w:hAnsi="宋体" w:eastAsia="宋体" w:cs="宋体"/>
                <w:sz w:val="21"/>
                <w:szCs w:val="21"/>
                <w:lang w:eastAsia="zh-CN"/>
              </w:rPr>
              <w:t>证书</w:t>
            </w:r>
          </w:p>
        </w:tc>
        <w:tc>
          <w:tcPr>
            <w:tcW w:w="709" w:type="dxa"/>
            <w:vAlign w:val="center"/>
          </w:tcPr>
          <w:p w14:paraId="57882E3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5</w:t>
            </w:r>
          </w:p>
        </w:tc>
        <w:tc>
          <w:tcPr>
            <w:tcW w:w="5953" w:type="dxa"/>
            <w:vAlign w:val="top"/>
          </w:tcPr>
          <w:p w14:paraId="40A3366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E1E115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投标人具有ISO9001质量管理体系认证</w:t>
            </w:r>
            <w:r>
              <w:rPr>
                <w:rFonts w:hint="eastAsia" w:ascii="宋体" w:hAnsi="宋体" w:eastAsia="宋体" w:cs="宋体"/>
                <w:sz w:val="21"/>
                <w:szCs w:val="21"/>
                <w:lang w:eastAsia="zh-CN"/>
              </w:rPr>
              <w:t>证书的</w:t>
            </w:r>
            <w:r>
              <w:rPr>
                <w:rFonts w:hint="eastAsia" w:ascii="宋体" w:hAnsi="宋体" w:eastAsia="宋体" w:cs="宋体"/>
                <w:sz w:val="21"/>
                <w:szCs w:val="21"/>
              </w:rPr>
              <w:t>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3BC504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注：如存在与上述认证证书名称有所差异，但属于同类证书，符合同种证书要求的，也可得分。</w:t>
            </w:r>
          </w:p>
          <w:p w14:paraId="30BD84A2">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15824A06">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E15604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1.提供有效认证证书（如认证证书注明年审要求的，必须按规定年审且证书在有效期内的方为有效；如未注明年审要求的，证书必须在有效期内的方为有效）；</w:t>
            </w:r>
          </w:p>
          <w:p w14:paraId="1280542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2.提供证书官网或权威机构【如：全国认证认可信息公共服务平台（cx.cnca.cn）】认证信息查询截图（截图需显示证书状态为有效）。</w:t>
            </w:r>
            <w:r>
              <w:rPr>
                <w:rFonts w:hint="eastAsia" w:ascii="宋体" w:hAnsi="宋体" w:eastAsia="宋体" w:cs="宋体"/>
                <w:sz w:val="21"/>
                <w:szCs w:val="21"/>
                <w:lang w:val="zh-CN"/>
              </w:rPr>
              <w:t>相关证书在公开渠道无法查询的，投标人需提供颁发部门或者监管机构的证明材料，证明证书真实有效且为合法机构颁发；</w:t>
            </w:r>
          </w:p>
          <w:p w14:paraId="76F8585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3.证书由行业协会颁发的，需提供该行业协会在“中国社会组织政务服务平台”（网址：https://chinanpo.mca.gov.cn/）查询的已合法登记且状态正常截图，否则不予认可，视为无效证书；</w:t>
            </w:r>
          </w:p>
          <w:p w14:paraId="5EBEBFD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kern w:val="0"/>
                <w:sz w:val="21"/>
                <w:szCs w:val="21"/>
              </w:rPr>
              <w:t>4.</w:t>
            </w:r>
            <w:r>
              <w:rPr>
                <w:rFonts w:hint="eastAsia" w:ascii="宋体" w:hAnsi="宋体" w:eastAsia="宋体" w:cs="宋体"/>
                <w:sz w:val="21"/>
                <w:szCs w:val="21"/>
              </w:rPr>
              <w:t>如投标人为新成立企业且成立时间不足</w:t>
            </w:r>
            <w:r>
              <w:rPr>
                <w:rFonts w:hint="eastAsia" w:ascii="宋体" w:hAnsi="宋体" w:eastAsia="宋体" w:cs="宋体"/>
                <w:sz w:val="21"/>
                <w:szCs w:val="21"/>
                <w:lang w:eastAsia="zh-CN"/>
              </w:rPr>
              <w:t>以申请认证或未达到</w:t>
            </w:r>
            <w:r>
              <w:rPr>
                <w:rFonts w:hint="eastAsia" w:ascii="宋体" w:hAnsi="宋体" w:eastAsia="宋体" w:cs="宋体"/>
                <w:sz w:val="21"/>
                <w:szCs w:val="21"/>
              </w:rPr>
              <w:t>认证申请试运行期限的，提供情况说明，</w:t>
            </w:r>
            <w:r>
              <w:rPr>
                <w:rFonts w:hint="eastAsia" w:ascii="宋体" w:hAnsi="宋体" w:eastAsia="宋体" w:cs="宋体"/>
                <w:sz w:val="21"/>
                <w:szCs w:val="21"/>
                <w:lang w:val="zh-CN"/>
              </w:rPr>
              <w:t>亦视为满足评分要求</w:t>
            </w:r>
            <w:r>
              <w:rPr>
                <w:rFonts w:hint="eastAsia" w:ascii="宋体" w:hAnsi="宋体" w:eastAsia="宋体" w:cs="宋体"/>
                <w:sz w:val="21"/>
                <w:szCs w:val="21"/>
                <w:highlight w:val="none"/>
                <w:lang w:val="zh-CN"/>
              </w:rPr>
              <w:t>；</w:t>
            </w:r>
          </w:p>
          <w:p w14:paraId="4963CD4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9239F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w:t>
            </w:r>
          </w:p>
        </w:tc>
        <w:tc>
          <w:tcPr>
            <w:tcW w:w="1143" w:type="dxa"/>
            <w:vAlign w:val="center"/>
          </w:tcPr>
          <w:p w14:paraId="7EC82DD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z w:val="21"/>
                <w:szCs w:val="21"/>
              </w:rPr>
              <w:t>同类项目业绩情况</w:t>
            </w:r>
          </w:p>
        </w:tc>
        <w:tc>
          <w:tcPr>
            <w:tcW w:w="709" w:type="dxa"/>
            <w:vAlign w:val="center"/>
          </w:tcPr>
          <w:p w14:paraId="49BF899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z w:val="21"/>
                <w:szCs w:val="21"/>
                <w:lang w:val="en-US" w:eastAsia="zh-CN"/>
              </w:rPr>
              <w:t>20</w:t>
            </w:r>
          </w:p>
        </w:tc>
        <w:tc>
          <w:tcPr>
            <w:tcW w:w="5953" w:type="dxa"/>
            <w:vAlign w:val="top"/>
          </w:tcPr>
          <w:p w14:paraId="1742CB8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F802333">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23</w:t>
            </w:r>
            <w:r>
              <w:rPr>
                <w:rFonts w:hint="eastAsia" w:ascii="宋体" w:hAnsi="宋体" w:eastAsia="宋体" w:cs="宋体"/>
                <w:sz w:val="21"/>
                <w:szCs w:val="21"/>
              </w:rPr>
              <w:t>年1月1日至本项目投标截止日（以合同签订日期为准），投标人具有</w:t>
            </w:r>
            <w:r>
              <w:rPr>
                <w:rFonts w:hint="eastAsia" w:ascii="宋体" w:hAnsi="宋体" w:eastAsia="宋体" w:cs="宋体"/>
                <w:sz w:val="21"/>
                <w:szCs w:val="21"/>
                <w:lang w:eastAsia="zh-CN"/>
              </w:rPr>
              <w:t>同类</w:t>
            </w:r>
            <w:r>
              <w:rPr>
                <w:rFonts w:hint="eastAsia" w:ascii="宋体" w:hAnsi="宋体" w:eastAsia="宋体" w:cs="宋体"/>
                <w:sz w:val="21"/>
                <w:szCs w:val="21"/>
              </w:rPr>
              <w:t>学生集体研学实践相关活动</w:t>
            </w:r>
            <w:r>
              <w:rPr>
                <w:rFonts w:hint="eastAsia" w:ascii="宋体" w:hAnsi="宋体" w:eastAsia="宋体" w:cs="宋体"/>
                <w:sz w:val="21"/>
                <w:szCs w:val="21"/>
                <w:lang w:eastAsia="zh-CN"/>
              </w:rPr>
              <w:t>项目业绩，</w:t>
            </w:r>
            <w:r>
              <w:rPr>
                <w:rFonts w:hint="eastAsia" w:ascii="宋体" w:hAnsi="宋体" w:eastAsia="宋体" w:cs="宋体"/>
                <w:sz w:val="21"/>
                <w:szCs w:val="21"/>
              </w:rPr>
              <w:t>每提供1个项目得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最高得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0554047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128B014F">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62B9B81">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1.提供合同关键页（关键信息包括但不仅限于</w:t>
            </w:r>
            <w:r>
              <w:rPr>
                <w:rFonts w:hint="eastAsia" w:ascii="宋体" w:hAnsi="宋体" w:eastAsia="宋体" w:cs="宋体"/>
                <w:sz w:val="21"/>
                <w:szCs w:val="21"/>
                <w:lang w:eastAsia="zh-CN"/>
              </w:rPr>
              <w:t>合同名称页、合同主要内容页、合同签订日期页、合同双方签字盖章页</w:t>
            </w:r>
            <w:r>
              <w:rPr>
                <w:rFonts w:hint="eastAsia" w:ascii="宋体" w:hAnsi="宋体" w:eastAsia="宋体" w:cs="宋体"/>
                <w:sz w:val="21"/>
                <w:szCs w:val="21"/>
              </w:rPr>
              <w:t>）</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119D163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p>
          <w:p w14:paraId="58D35F5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CB9D4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3" w:hRule="atLeast"/>
          <w:jc w:val="center"/>
        </w:trPr>
        <w:tc>
          <w:tcPr>
            <w:tcW w:w="754" w:type="dxa"/>
            <w:vAlign w:val="center"/>
          </w:tcPr>
          <w:p w14:paraId="6A17302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3</w:t>
            </w:r>
          </w:p>
        </w:tc>
        <w:tc>
          <w:tcPr>
            <w:tcW w:w="1143" w:type="dxa"/>
            <w:vAlign w:val="center"/>
          </w:tcPr>
          <w:p w14:paraId="2AA5887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同类项目业绩</w:t>
            </w:r>
            <w:r>
              <w:rPr>
                <w:rFonts w:hint="eastAsia" w:ascii="宋体" w:hAnsi="宋体" w:eastAsia="宋体" w:cs="宋体"/>
                <w:sz w:val="21"/>
                <w:szCs w:val="21"/>
                <w:lang w:val="en-US" w:eastAsia="zh-CN"/>
              </w:rPr>
              <w:t>履约评价</w:t>
            </w:r>
          </w:p>
        </w:tc>
        <w:tc>
          <w:tcPr>
            <w:tcW w:w="709" w:type="dxa"/>
            <w:vAlign w:val="center"/>
          </w:tcPr>
          <w:p w14:paraId="03D227D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5953" w:type="dxa"/>
            <w:vAlign w:val="top"/>
          </w:tcPr>
          <w:p w14:paraId="3D6FE08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151C9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投标人在上述“</w:t>
            </w:r>
            <w:r>
              <w:rPr>
                <w:rFonts w:hint="eastAsia" w:ascii="宋体" w:hAnsi="宋体" w:eastAsia="宋体" w:cs="宋体"/>
                <w:sz w:val="21"/>
                <w:szCs w:val="21"/>
              </w:rPr>
              <w:t>同类项目业绩情况</w:t>
            </w:r>
            <w:r>
              <w:rPr>
                <w:rFonts w:hint="eastAsia" w:ascii="宋体" w:hAnsi="宋体" w:eastAsia="宋体" w:cs="宋体"/>
                <w:kern w:val="0"/>
                <w:sz w:val="21"/>
                <w:szCs w:val="21"/>
                <w:highlight w:val="none"/>
                <w:lang w:val="en-US" w:eastAsia="zh-CN" w:bidi="ar"/>
              </w:rPr>
              <w:t>”中评审得分的业绩获得合同甲方履约评价结果为“优”或“满意”或评价证明中最高等级或评价得分达到90分（非百分制评分的应达到90%分值）及以上的，每提供1个项目履约评价得1分，最高得5分。</w:t>
            </w:r>
          </w:p>
          <w:p w14:paraId="2B1FC757">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7BA838D5">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8F494F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提供加盖合同甲方公章或甲方业务章的履约评价证明材料</w:t>
            </w:r>
            <w:r>
              <w:rPr>
                <w:rFonts w:hint="eastAsia" w:ascii="宋体" w:hAnsi="宋体" w:eastAsia="宋体" w:cs="宋体"/>
                <w:kern w:val="0"/>
                <w:sz w:val="21"/>
                <w:szCs w:val="21"/>
                <w:lang w:val="en-US" w:eastAsia="zh-CN"/>
              </w:rPr>
              <w:t>作为得分依据</w:t>
            </w:r>
            <w:r>
              <w:rPr>
                <w:rFonts w:hint="eastAsia" w:ascii="宋体" w:hAnsi="宋体" w:eastAsia="宋体" w:cs="宋体"/>
                <w:kern w:val="0"/>
                <w:sz w:val="21"/>
                <w:szCs w:val="21"/>
              </w:rPr>
              <w:t>；</w:t>
            </w:r>
          </w:p>
          <w:p w14:paraId="52CFB62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0F3178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4</w:t>
            </w:r>
          </w:p>
        </w:tc>
        <w:tc>
          <w:tcPr>
            <w:tcW w:w="1143" w:type="dxa"/>
            <w:vAlign w:val="center"/>
          </w:tcPr>
          <w:p w14:paraId="42B13F9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BAF4B7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06E64993">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6" w:name="_Toc44691162"/>
      <w:bookmarkStart w:id="17" w:name="_Toc135293165"/>
      <w:bookmarkStart w:id="18" w:name="_Toc44690703"/>
      <w:bookmarkStart w:id="19" w:name="_Toc44690430"/>
      <w:bookmarkStart w:id="20" w:name="_Toc44691394"/>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keepNext w:val="0"/>
        <w:keepLines w:val="0"/>
        <w:pageBreakBefore w:val="0"/>
        <w:widowControl w:val="0"/>
        <w:kinsoku/>
        <w:wordWrap/>
        <w:overflowPunct/>
        <w:topLinePunct w:val="0"/>
        <w:bidi w:val="0"/>
        <w:spacing w:before="0" w:after="0"/>
      </w:pPr>
      <w:bookmarkStart w:id="21" w:name="_Toc135293166"/>
      <w:r>
        <w:rPr>
          <w:rFonts w:hint="eastAsia"/>
        </w:rPr>
        <w:t>1、资质证书有效期</w:t>
      </w:r>
      <w:bookmarkEnd w:id="21"/>
    </w:p>
    <w:p w14:paraId="26C778A6">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7B2CE8EC">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w:t>
      </w:r>
      <w:r>
        <w:rPr>
          <w:rFonts w:hint="eastAsia" w:ascii="宋体" w:hAnsi="宋体"/>
          <w:b/>
          <w:snapToGrid w:val="0"/>
          <w:szCs w:val="21"/>
          <w:highlight w:val="yellow"/>
          <w:u w:val="single"/>
          <w:lang w:val="zh-CN" w:eastAsia="zh-CN"/>
        </w:rPr>
        <w:t>租赁和商务服务业</w:t>
      </w:r>
      <w:r>
        <w:rPr>
          <w:rFonts w:hint="eastAsia" w:ascii="宋体" w:hAnsi="宋体"/>
          <w:b/>
          <w:snapToGrid w:val="0"/>
          <w:szCs w:val="21"/>
          <w:highlight w:val="yellow"/>
          <w:u w:val="single"/>
        </w:rPr>
        <w:t xml:space="preserve">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的采购项目，</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（3）允许大中型企业向一家或者多家小微企业分包的采购项目</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深圳市第二实验学校明远高中2026年春季高一年级（2025级）学生大国重器·贵州研学实践活动</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深圳市第二实验学校明远高中</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7"/>
              <w:spacing w:line="360" w:lineRule="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4E7431BB">
            <w:pPr>
              <w:pStyle w:val="27"/>
              <w:spacing w:line="360" w:lineRule="auto"/>
              <w:rPr>
                <w:rFonts w:hint="eastAsia" w:asciiTheme="minorEastAsia" w:hAnsiTheme="minorEastAsia" w:eastAsiaTheme="minorEastAsia"/>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p w14:paraId="687E342D">
            <w:pPr>
              <w:pStyle w:val="27"/>
              <w:spacing w:line="360" w:lineRule="auto"/>
              <w:rPr>
                <w:rFonts w:hint="eastAsia" w:hAnsi="宋体" w:eastAsiaTheme="minorEastAsia"/>
                <w:lang w:val="en-US" w:eastAsia="zh-CN"/>
              </w:rPr>
            </w:pPr>
            <w:r>
              <w:rPr>
                <w:rFonts w:hint="eastAsia" w:hAnsi="宋体" w:eastAsia="宋体" w:cs="MS Mincho"/>
                <w:sz w:val="24"/>
                <w:szCs w:val="24"/>
                <w:lang w:eastAsia="zh-CN"/>
              </w:rPr>
              <w:t>☑</w:t>
            </w:r>
            <w:r>
              <w:rPr>
                <w:rFonts w:hint="eastAsia" w:asciiTheme="minorEastAsia" w:hAnsiTheme="minorEastAsia" w:eastAsiaTheme="minorEastAsia"/>
                <w:szCs w:val="21"/>
              </w:rPr>
              <w:t>以</w:t>
            </w:r>
            <w:r>
              <w:rPr>
                <w:rFonts w:hint="eastAsia" w:asciiTheme="minorEastAsia" w:hAnsiTheme="minorEastAsia" w:eastAsiaTheme="minorEastAsia"/>
                <w:szCs w:val="21"/>
                <w:lang w:val="en-US" w:eastAsia="zh-CN"/>
              </w:rPr>
              <w:t>项目预计总支付上限（项目预计学生出行人数为550人，按照单价限价3,200.00元/人计算，学生部分支付上限为1,760,000.00元，加上教师部分支付上限为</w:t>
            </w:r>
            <w:r>
              <w:rPr>
                <w:rFonts w:hint="eastAsia" w:ascii="宋体" w:hAnsi="宋体" w:eastAsia="宋体" w:cs="宋体"/>
                <w:sz w:val="21"/>
                <w:szCs w:val="21"/>
                <w:lang w:eastAsia="zh-CN"/>
              </w:rPr>
              <w:t>60</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000.00</w:t>
            </w:r>
            <w:r>
              <w:rPr>
                <w:rFonts w:hint="eastAsia" w:ascii="宋体" w:hAnsi="宋体" w:eastAsia="宋体" w:cs="宋体"/>
                <w:sz w:val="21"/>
                <w:szCs w:val="21"/>
                <w:lang w:val="en-US" w:eastAsia="zh-CN"/>
              </w:rPr>
              <w:t>元，</w:t>
            </w:r>
            <w:r>
              <w:rPr>
                <w:rFonts w:hint="eastAsia" w:asciiTheme="minorEastAsia" w:hAnsiTheme="minorEastAsia" w:eastAsiaTheme="minorEastAsia"/>
                <w:szCs w:val="21"/>
                <w:lang w:val="en-US" w:eastAsia="zh-CN"/>
              </w:rPr>
              <w:t>预计总支付上限为1,820,000.00元）</w:t>
            </w:r>
            <w:r>
              <w:rPr>
                <w:rFonts w:hint="eastAsia" w:asciiTheme="minorEastAsia" w:hAnsiTheme="minorEastAsia" w:eastAsiaTheme="minorEastAsia"/>
                <w:szCs w:val="21"/>
              </w:rPr>
              <w:t>作为计算依据</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21,560.00</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6F918C61">
      <w:pPr>
        <w:pStyle w:val="2"/>
        <w:rPr>
          <w:rFonts w:hint="eastAsia"/>
        </w:rPr>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2"/>
        <w:rPr>
          <w:rFonts w:hint="eastAsia"/>
        </w:rPr>
      </w:pPr>
      <w:bookmarkStart w:id="40" w:name="_Toc135293177"/>
    </w:p>
    <w:p w14:paraId="2B5E3F2E">
      <w:pPr>
        <w:pStyle w:val="2"/>
      </w:pPr>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14934"/>
      <w:bookmarkStart w:id="42" w:name="_Toc44691163"/>
      <w:bookmarkStart w:id="43" w:name="_Toc44690704"/>
      <w:bookmarkStart w:id="44" w:name="_Toc25194"/>
      <w:bookmarkStart w:id="45" w:name="_Toc44691395"/>
      <w:bookmarkStart w:id="46" w:name="_Toc135293178"/>
      <w:bookmarkStart w:id="47" w:name="_Toc31468"/>
      <w:bookmarkStart w:id="48" w:name="_Toc11772"/>
      <w:bookmarkStart w:id="49" w:name="_Toc44690431"/>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0705"/>
      <w:bookmarkStart w:id="58" w:name="_Toc44691396"/>
      <w:bookmarkStart w:id="59" w:name="_Toc44691164"/>
      <w:bookmarkStart w:id="60" w:name="_Toc135293182"/>
      <w:bookmarkStart w:id="61" w:name="_Toc4469043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44691397"/>
      <w:bookmarkStart w:id="68" w:name="_Toc44690706"/>
      <w:bookmarkStart w:id="69" w:name="_Toc44691165"/>
      <w:bookmarkStart w:id="70" w:name="_Toc135293186"/>
      <w:bookmarkStart w:id="71" w:name="_Toc44690433"/>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w:t>
            </w:r>
            <w:r>
              <w:rPr>
                <w:rFonts w:hint="eastAsia" w:ascii="宋体" w:hAnsi="宋体" w:eastAsia="宋体" w:cs="宋体"/>
                <w:snapToGrid w:val="0"/>
                <w:kern w:val="0"/>
                <w:lang w:val="en-US" w:eastAsia="zh-CN"/>
              </w:rPr>
              <w:t xml:space="preserve"> 元/人</w:t>
            </w:r>
            <w:r>
              <w:rPr>
                <w:snapToGrid w:val="0"/>
                <w:kern w:val="0"/>
              </w:rPr>
              <w:t>）</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深圳市第二实验学校明远高中2026年春季高一年级（2025级）学生大国重器·贵州研学实践活动</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135293187"/>
      <w:bookmarkStart w:id="73" w:name="_Toc44691166"/>
      <w:bookmarkStart w:id="74" w:name="_Toc44690434"/>
      <w:bookmarkStart w:id="75" w:name="_Toc44690707"/>
      <w:bookmarkStart w:id="76" w:name="_Toc44691398"/>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270"/>
        <w:gridCol w:w="3559"/>
        <w:gridCol w:w="906"/>
      </w:tblGrid>
      <w:tr w14:paraId="266506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37F8E232">
            <w:pPr>
              <w:adjustRightInd w:val="0"/>
              <w:snapToGrid w:val="0"/>
              <w:spacing w:line="300" w:lineRule="auto"/>
              <w:jc w:val="center"/>
              <w:rPr>
                <w:b/>
                <w:snapToGrid w:val="0"/>
                <w:kern w:val="0"/>
              </w:rPr>
            </w:pPr>
            <w:r>
              <w:rPr>
                <w:rFonts w:hint="eastAsia"/>
                <w:b/>
                <w:snapToGrid w:val="0"/>
                <w:kern w:val="0"/>
              </w:rPr>
              <w:t>序号</w:t>
            </w:r>
          </w:p>
        </w:tc>
        <w:tc>
          <w:tcPr>
            <w:tcW w:w="4270" w:type="dxa"/>
            <w:vAlign w:val="center"/>
          </w:tcPr>
          <w:p w14:paraId="041C9CC3">
            <w:pPr>
              <w:adjustRightInd w:val="0"/>
              <w:snapToGrid w:val="0"/>
              <w:spacing w:line="300" w:lineRule="auto"/>
              <w:jc w:val="center"/>
              <w:rPr>
                <w:b/>
                <w:snapToGrid w:val="0"/>
                <w:kern w:val="0"/>
              </w:rPr>
            </w:pPr>
            <w:r>
              <w:rPr>
                <w:rFonts w:hint="eastAsia"/>
                <w:b/>
                <w:snapToGrid w:val="0"/>
                <w:kern w:val="0"/>
              </w:rPr>
              <w:t>项目内容</w:t>
            </w:r>
          </w:p>
        </w:tc>
        <w:tc>
          <w:tcPr>
            <w:tcW w:w="3559" w:type="dxa"/>
            <w:vAlign w:val="center"/>
          </w:tcPr>
          <w:p w14:paraId="46365D66">
            <w:pPr>
              <w:adjustRightInd w:val="0"/>
              <w:snapToGrid w:val="0"/>
              <w:spacing w:line="300" w:lineRule="auto"/>
              <w:jc w:val="center"/>
              <w:rPr>
                <w:b/>
                <w:snapToGrid w:val="0"/>
                <w:kern w:val="0"/>
              </w:rPr>
            </w:pPr>
            <w:r>
              <w:rPr>
                <w:rFonts w:hint="eastAsia"/>
                <w:b/>
                <w:snapToGrid w:val="0"/>
                <w:kern w:val="0"/>
              </w:rPr>
              <w:t>单价（单位：人民币</w:t>
            </w:r>
            <w:r>
              <w:rPr>
                <w:rFonts w:hint="eastAsia"/>
                <w:b/>
                <w:snapToGrid w:val="0"/>
                <w:kern w:val="0"/>
                <w:lang w:val="en-US" w:eastAsia="zh-CN"/>
              </w:rPr>
              <w:t xml:space="preserve"> </w:t>
            </w:r>
            <w:r>
              <w:rPr>
                <w:rFonts w:hint="eastAsia" w:ascii="宋体" w:hAnsi="宋体" w:eastAsia="宋体" w:cs="宋体"/>
                <w:b/>
                <w:snapToGrid w:val="0"/>
                <w:kern w:val="0"/>
                <w:lang w:val="en-US" w:eastAsia="zh-CN"/>
              </w:rPr>
              <w:t>元/人</w:t>
            </w:r>
            <w:r>
              <w:rPr>
                <w:rFonts w:hint="eastAsia"/>
                <w:b/>
                <w:snapToGrid w:val="0"/>
                <w:kern w:val="0"/>
              </w:rPr>
              <w:t>）</w:t>
            </w:r>
          </w:p>
        </w:tc>
        <w:tc>
          <w:tcPr>
            <w:tcW w:w="906" w:type="dxa"/>
            <w:vAlign w:val="center"/>
          </w:tcPr>
          <w:p w14:paraId="7F7EA921">
            <w:pPr>
              <w:adjustRightInd w:val="0"/>
              <w:snapToGrid w:val="0"/>
              <w:spacing w:line="300" w:lineRule="auto"/>
              <w:jc w:val="center"/>
              <w:rPr>
                <w:b/>
                <w:snapToGrid w:val="0"/>
                <w:kern w:val="0"/>
              </w:rPr>
            </w:pPr>
            <w:r>
              <w:rPr>
                <w:rFonts w:hint="eastAsia"/>
                <w:b/>
                <w:snapToGrid w:val="0"/>
                <w:kern w:val="0"/>
              </w:rPr>
              <w:t>备注</w:t>
            </w:r>
          </w:p>
        </w:tc>
      </w:tr>
      <w:tr w14:paraId="56B6F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05584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4270" w:type="dxa"/>
            <w:vAlign w:val="center"/>
          </w:tcPr>
          <w:p w14:paraId="3B24D52C">
            <w:pPr>
              <w:adjustRightInd w:val="0"/>
              <w:snapToGrid w:val="0"/>
              <w:spacing w:line="300" w:lineRule="auto"/>
              <w:jc w:val="center"/>
              <w:rPr>
                <w:rFonts w:hint="eastAsia" w:ascii="宋体" w:hAnsi="宋体" w:eastAsia="宋体" w:cs="宋体"/>
                <w:snapToGrid w:val="0"/>
                <w:kern w:val="0"/>
              </w:rPr>
            </w:pPr>
            <w:r>
              <w:rPr>
                <w:rFonts w:hint="eastAsia" w:ascii="宋体" w:hAnsi="宋体" w:eastAsia="宋体" w:cs="宋体"/>
                <w:szCs w:val="21"/>
                <w:lang w:val="zh-CN" w:eastAsia="zh-CN"/>
              </w:rPr>
              <w:t>深圳市第二实验学校明远高中2026年春季高一年级（2025级）学生大国重器·贵州研学实践活动</w:t>
            </w:r>
          </w:p>
        </w:tc>
        <w:tc>
          <w:tcPr>
            <w:tcW w:w="3559" w:type="dxa"/>
            <w:vAlign w:val="center"/>
          </w:tcPr>
          <w:p w14:paraId="1DF34341">
            <w:pPr>
              <w:adjustRightInd w:val="0"/>
              <w:snapToGrid w:val="0"/>
              <w:spacing w:line="300" w:lineRule="auto"/>
              <w:jc w:val="center"/>
              <w:rPr>
                <w:snapToGrid w:val="0"/>
                <w:kern w:val="0"/>
              </w:rPr>
            </w:pPr>
          </w:p>
        </w:tc>
        <w:tc>
          <w:tcPr>
            <w:tcW w:w="906" w:type="dxa"/>
            <w:vAlign w:val="center"/>
          </w:tcPr>
          <w:p w14:paraId="4CE39F85">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w:t>
      </w:r>
      <w:r>
        <w:rPr>
          <w:rFonts w:hint="eastAsia" w:ascii="宋体" w:hAnsi="宋体"/>
          <w:bCs/>
          <w:szCs w:val="21"/>
          <w:lang w:val="en-US" w:eastAsia="zh-CN"/>
        </w:rPr>
        <w:t>为固定格式，请勿修改调整</w:t>
      </w:r>
      <w:r>
        <w:rPr>
          <w:rFonts w:hint="eastAsia" w:ascii="宋体" w:hAnsi="宋体"/>
          <w:bCs/>
          <w:szCs w:val="21"/>
        </w:rPr>
        <w:t>。</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44690708"/>
      <w:bookmarkStart w:id="78" w:name="_Toc44690435"/>
      <w:bookmarkStart w:id="79" w:name="_Toc135293188"/>
      <w:bookmarkStart w:id="80" w:name="_Toc44691167"/>
      <w:bookmarkStart w:id="81" w:name="_Toc44691399"/>
    </w:p>
    <w:p w14:paraId="0C056C53">
      <w:pPr>
        <w:rPr>
          <w:rFonts w:hint="eastAsia" w:asciiTheme="minorEastAsia" w:hAnsiTheme="minorEastAsia" w:eastAsiaTheme="minorEastAsia"/>
        </w:rPr>
      </w:pPr>
      <w:r>
        <w:rPr>
          <w:rFonts w:hint="eastAsia" w:asciiTheme="minorEastAsia" w:hAnsiTheme="minorEastAsia" w:eastAsiaTheme="minorEastAsia"/>
        </w:rPr>
        <w:br w:type="page"/>
      </w:r>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63F30F80">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社会实践活动实施方案</w:t>
      </w:r>
    </w:p>
    <w:p w14:paraId="5F7BE68A">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1CFD7054">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5410AA7D">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应急预案</w:t>
      </w:r>
    </w:p>
    <w:p w14:paraId="2D16A858">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认证证书</w:t>
      </w:r>
    </w:p>
    <w:p w14:paraId="0B49E51C">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同类项目业绩情况</w:t>
      </w:r>
    </w:p>
    <w:p w14:paraId="5D4F00B9">
      <w:pPr>
        <w:spacing w:line="360" w:lineRule="auto"/>
        <w:ind w:firstLine="420" w:firstLineChars="200"/>
        <w:rPr>
          <w:rFonts w:ascii="宋体" w:hAnsi="宋体"/>
          <w:szCs w:val="21"/>
        </w:rPr>
      </w:pPr>
      <w:r>
        <w:rPr>
          <w:rFonts w:hint="eastAsia" w:ascii="宋体" w:hAnsi="宋体" w:cs="宋体"/>
          <w:szCs w:val="21"/>
          <w:lang w:val="en-US" w:eastAsia="zh-CN"/>
        </w:rPr>
        <w:t>7、</w:t>
      </w:r>
      <w:r>
        <w:rPr>
          <w:rFonts w:hint="eastAsia" w:ascii="宋体" w:hAnsi="宋体" w:cs="宋体"/>
          <w:szCs w:val="21"/>
        </w:rPr>
        <w:t>同类项目业绩履约评价</w:t>
      </w:r>
    </w:p>
    <w:p w14:paraId="62D8E219">
      <w:pPr>
        <w:spacing w:line="360" w:lineRule="auto"/>
        <w:ind w:left="420"/>
        <w:rPr>
          <w:rFonts w:ascii="宋体" w:hAnsi="宋体"/>
          <w:bCs/>
        </w:rPr>
      </w:pPr>
      <w:r>
        <w:rPr>
          <w:rFonts w:hint="eastAsia" w:ascii="宋体" w:hAnsi="宋体"/>
          <w:bCs/>
          <w:lang w:val="en-US" w:eastAsia="zh-CN"/>
        </w:rPr>
        <w:t>8</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44691168"/>
      <w:bookmarkStart w:id="84" w:name="_Toc44690709"/>
      <w:bookmarkStart w:id="85" w:name="_Toc44690436"/>
      <w:bookmarkStart w:id="86" w:name="_Toc44691400"/>
      <w:bookmarkStart w:id="87" w:name="_Toc135293190"/>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_格式5__"/>
      <w:bookmarkEnd w:id="88"/>
      <w:bookmarkStart w:id="89" w:name="q15"/>
      <w:bookmarkEnd w:id="89"/>
      <w:bookmarkStart w:id="90" w:name="_格式4__"/>
      <w:bookmarkEnd w:id="90"/>
      <w:bookmarkStart w:id="91" w:name="_格式2__投标保证金凭证"/>
      <w:bookmarkEnd w:id="91"/>
      <w:bookmarkStart w:id="92" w:name="q16"/>
      <w:bookmarkEnd w:id="92"/>
      <w:bookmarkStart w:id="93" w:name="_格式3__"/>
      <w:bookmarkEnd w:id="93"/>
      <w:bookmarkStart w:id="94" w:name="q17"/>
      <w:bookmarkEnd w:id="94"/>
      <w:r>
        <w:rPr>
          <w:rFonts w:asciiTheme="minorEastAsia" w:hAnsiTheme="minorEastAsia" w:eastAsiaTheme="minorEastAsia"/>
        </w:rPr>
        <w:tab/>
      </w:r>
      <w:bookmarkStart w:id="95" w:name="_Toc44690710"/>
      <w:bookmarkStart w:id="96" w:name="_Toc44690437"/>
      <w:bookmarkStart w:id="97" w:name="_Toc44691401"/>
      <w:bookmarkStart w:id="98" w:name="_Toc44691169"/>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1" w:name="_Toc135293193"/>
      <w:bookmarkStart w:id="102" w:name="_Toc73610161"/>
      <w:r>
        <w:rPr>
          <w:rFonts w:hint="eastAsia"/>
        </w:rPr>
        <w:t>第九章  附件</w:t>
      </w:r>
      <w:bookmarkEnd w:id="101"/>
      <w:bookmarkEnd w:id="102"/>
    </w:p>
    <w:p w14:paraId="3C84BC95">
      <w:pPr>
        <w:pStyle w:val="4"/>
        <w:spacing w:before="0" w:after="0"/>
      </w:pPr>
      <w:bookmarkStart w:id="103" w:name="_Toc73613644"/>
      <w:bookmarkStart w:id="104" w:name="_Toc73610162"/>
      <w:bookmarkStart w:id="105" w:name="_Toc135293194"/>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135293195"/>
      <w:bookmarkStart w:id="107" w:name="_Toc73610163"/>
      <w:bookmarkStart w:id="108" w:name="_Toc73613645"/>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73613646"/>
      <w:bookmarkStart w:id="110" w:name="_Toc73610164"/>
      <w:bookmarkStart w:id="111" w:name="_Toc135293196"/>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135293197"/>
      <w:bookmarkStart w:id="113" w:name="_Toc7361364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sz w:val="15"/>
        <w:szCs w:val="15"/>
      </w:rPr>
      <w:t>项目名称：</w:t>
    </w:r>
    <w:r>
      <w:rPr>
        <w:rFonts w:hint="eastAsia"/>
        <w:sz w:val="15"/>
        <w:szCs w:val="15"/>
        <w:lang w:eastAsia="zh-CN"/>
      </w:rPr>
      <w:t>深圳市第二实验学校明远高中2026年春季高一年级（2025级）学生大国重器·贵州研学实践活动</w:t>
    </w:r>
    <w:r>
      <w:rPr>
        <w:rFonts w:hint="eastAsia"/>
        <w:sz w:val="15"/>
        <w:szCs w:val="15"/>
      </w:rPr>
      <w:t xml:space="preserve">        项目编号：</w:t>
    </w:r>
    <w:r>
      <w:rPr>
        <w:rFonts w:hint="eastAsia" w:asciiTheme="minorEastAsia" w:hAnsiTheme="minorEastAsia" w:eastAsiaTheme="minorEastAsia"/>
        <w:sz w:val="15"/>
        <w:szCs w:val="15"/>
        <w:lang w:eastAsia="zh-CN"/>
      </w:rPr>
      <w:t>SZZZ2026-QC0098</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5F4222"/>
    <w:rsid w:val="03675DAC"/>
    <w:rsid w:val="039C57C0"/>
    <w:rsid w:val="041D095D"/>
    <w:rsid w:val="054247C4"/>
    <w:rsid w:val="05C87DB9"/>
    <w:rsid w:val="077E586F"/>
    <w:rsid w:val="07DD5502"/>
    <w:rsid w:val="07EC69C8"/>
    <w:rsid w:val="07EF3B23"/>
    <w:rsid w:val="08425EAC"/>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146BF5"/>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4CF5677"/>
    <w:rsid w:val="14E86739"/>
    <w:rsid w:val="167D280D"/>
    <w:rsid w:val="17047766"/>
    <w:rsid w:val="170A4C85"/>
    <w:rsid w:val="174A5413"/>
    <w:rsid w:val="17706018"/>
    <w:rsid w:val="17935895"/>
    <w:rsid w:val="17EB6CC4"/>
    <w:rsid w:val="17F52C18"/>
    <w:rsid w:val="1807166C"/>
    <w:rsid w:val="184530EF"/>
    <w:rsid w:val="187842FE"/>
    <w:rsid w:val="187D188E"/>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B53A7"/>
    <w:rsid w:val="269E4C0C"/>
    <w:rsid w:val="27024D1A"/>
    <w:rsid w:val="278C78CF"/>
    <w:rsid w:val="278F0C96"/>
    <w:rsid w:val="27AA4F6F"/>
    <w:rsid w:val="283437D1"/>
    <w:rsid w:val="28776D28"/>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30601421"/>
    <w:rsid w:val="30817D6A"/>
    <w:rsid w:val="3157114E"/>
    <w:rsid w:val="315D7CF4"/>
    <w:rsid w:val="31F2037F"/>
    <w:rsid w:val="329B11F6"/>
    <w:rsid w:val="336E087E"/>
    <w:rsid w:val="33955341"/>
    <w:rsid w:val="33A85DA6"/>
    <w:rsid w:val="33C3087D"/>
    <w:rsid w:val="344C0413"/>
    <w:rsid w:val="344F5E45"/>
    <w:rsid w:val="34842E9F"/>
    <w:rsid w:val="34FA7B3A"/>
    <w:rsid w:val="350F28AA"/>
    <w:rsid w:val="35142649"/>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9C790B"/>
    <w:rsid w:val="44B931B7"/>
    <w:rsid w:val="44DC50C3"/>
    <w:rsid w:val="45920C15"/>
    <w:rsid w:val="459D2A33"/>
    <w:rsid w:val="45D37D9B"/>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14635A0"/>
    <w:rsid w:val="51D10A66"/>
    <w:rsid w:val="528A390F"/>
    <w:rsid w:val="528C6991"/>
    <w:rsid w:val="52C3297B"/>
    <w:rsid w:val="52E350B6"/>
    <w:rsid w:val="54054633"/>
    <w:rsid w:val="540605E4"/>
    <w:rsid w:val="547F0032"/>
    <w:rsid w:val="54A02A20"/>
    <w:rsid w:val="55B24F8F"/>
    <w:rsid w:val="55C87B3E"/>
    <w:rsid w:val="56714961"/>
    <w:rsid w:val="57142FA7"/>
    <w:rsid w:val="57930365"/>
    <w:rsid w:val="57F33150"/>
    <w:rsid w:val="58677DAE"/>
    <w:rsid w:val="58D67D8C"/>
    <w:rsid w:val="58E10577"/>
    <w:rsid w:val="59165EF7"/>
    <w:rsid w:val="59702A12"/>
    <w:rsid w:val="598E457A"/>
    <w:rsid w:val="59CF1242"/>
    <w:rsid w:val="5AE46F75"/>
    <w:rsid w:val="5AED2A9C"/>
    <w:rsid w:val="5B785330"/>
    <w:rsid w:val="5BC746C9"/>
    <w:rsid w:val="5CC61F72"/>
    <w:rsid w:val="5CF206F7"/>
    <w:rsid w:val="5D125E69"/>
    <w:rsid w:val="5D440F45"/>
    <w:rsid w:val="5D6121B1"/>
    <w:rsid w:val="5DA764EE"/>
    <w:rsid w:val="5E363750"/>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66756A"/>
    <w:rsid w:val="6A8D3F8A"/>
    <w:rsid w:val="6BBD7356"/>
    <w:rsid w:val="6BCD1DE6"/>
    <w:rsid w:val="6C4443B0"/>
    <w:rsid w:val="6C505023"/>
    <w:rsid w:val="6CCE7457"/>
    <w:rsid w:val="6CF41368"/>
    <w:rsid w:val="6D14299F"/>
    <w:rsid w:val="6D36544D"/>
    <w:rsid w:val="6D581766"/>
    <w:rsid w:val="6D672A1E"/>
    <w:rsid w:val="6DC237D1"/>
    <w:rsid w:val="6E2F4B86"/>
    <w:rsid w:val="6E681EA9"/>
    <w:rsid w:val="6E8421A4"/>
    <w:rsid w:val="6EB56801"/>
    <w:rsid w:val="6EE8016F"/>
    <w:rsid w:val="6F40725E"/>
    <w:rsid w:val="6F4C2770"/>
    <w:rsid w:val="6F745D74"/>
    <w:rsid w:val="6F8F2BAE"/>
    <w:rsid w:val="6FC23A75"/>
    <w:rsid w:val="704D7B76"/>
    <w:rsid w:val="70AE175A"/>
    <w:rsid w:val="711172CF"/>
    <w:rsid w:val="71B10318"/>
    <w:rsid w:val="71FD54DD"/>
    <w:rsid w:val="725738A4"/>
    <w:rsid w:val="729A3A97"/>
    <w:rsid w:val="72CA287C"/>
    <w:rsid w:val="730D7EC7"/>
    <w:rsid w:val="73515B1A"/>
    <w:rsid w:val="73530396"/>
    <w:rsid w:val="738E7E4C"/>
    <w:rsid w:val="739A7F5B"/>
    <w:rsid w:val="73C66DBA"/>
    <w:rsid w:val="7410294D"/>
    <w:rsid w:val="74275AAB"/>
    <w:rsid w:val="742C2BF6"/>
    <w:rsid w:val="749E3893"/>
    <w:rsid w:val="750464B4"/>
    <w:rsid w:val="752B4572"/>
    <w:rsid w:val="76373F9F"/>
    <w:rsid w:val="76377481"/>
    <w:rsid w:val="765B0B31"/>
    <w:rsid w:val="76D71644"/>
    <w:rsid w:val="76EE69B8"/>
    <w:rsid w:val="776C2FB6"/>
    <w:rsid w:val="77E60857"/>
    <w:rsid w:val="78E65653"/>
    <w:rsid w:val="78E711F4"/>
    <w:rsid w:val="790C34C1"/>
    <w:rsid w:val="79982284"/>
    <w:rsid w:val="7998662D"/>
    <w:rsid w:val="79F820B0"/>
    <w:rsid w:val="7A2F2846"/>
    <w:rsid w:val="7A8C5878"/>
    <w:rsid w:val="7AFB559C"/>
    <w:rsid w:val="7B471854"/>
    <w:rsid w:val="7B780028"/>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2"/>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89</Pages>
  <Words>9377</Words>
  <Characters>9723</Characters>
  <Lines>398</Lines>
  <Paragraphs>112</Paragraphs>
  <TotalTime>13</TotalTime>
  <ScaleCrop>false</ScaleCrop>
  <LinksUpToDate>false</LinksUpToDate>
  <CharactersWithSpaces>9817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2026-03-27T08:01:24Z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